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1BF" w:rsidRPr="001951BF" w:rsidRDefault="001951BF" w:rsidP="001951BF">
      <w:pPr>
        <w:pStyle w:val="ListParagraph"/>
        <w:ind w:left="108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51BF">
        <w:rPr>
          <w:rFonts w:ascii="Times New Roman" w:hAnsi="Times New Roman" w:cs="Times New Roman"/>
          <w:b/>
          <w:sz w:val="26"/>
          <w:szCs w:val="26"/>
        </w:rPr>
        <w:t>Request for investment progress extension</w:t>
      </w:r>
    </w:p>
    <w:p w:rsidR="001951BF" w:rsidRPr="001951BF" w:rsidRDefault="001951BF" w:rsidP="001951BF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bdr w:val="none" w:sz="0" w:space="0" w:color="auto" w:frame="1"/>
        </w:rPr>
      </w:pPr>
      <w:r w:rsidRPr="001951B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bdr w:val="none" w:sz="0" w:space="0" w:color="auto" w:frame="1"/>
        </w:rPr>
        <w:t>Information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64"/>
        <w:gridCol w:w="6451"/>
      </w:tblGrid>
      <w:tr w:rsidR="001951BF" w:rsidRPr="001951BF" w:rsidTr="00B23D75">
        <w:trPr>
          <w:trHeight w:val="614"/>
        </w:trPr>
        <w:tc>
          <w:tcPr>
            <w:tcW w:w="168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51BF" w:rsidRPr="001951BF" w:rsidRDefault="001951BF" w:rsidP="00B23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951B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bdr w:val="none" w:sz="0" w:space="0" w:color="auto" w:frame="1"/>
              </w:rPr>
              <w:t>Field:</w:t>
            </w:r>
          </w:p>
        </w:tc>
        <w:tc>
          <w:tcPr>
            <w:tcW w:w="332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51BF" w:rsidRPr="001951BF" w:rsidRDefault="001951BF" w:rsidP="00B23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951B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Investment</w:t>
            </w:r>
          </w:p>
        </w:tc>
      </w:tr>
      <w:tr w:rsidR="001951BF" w:rsidRPr="001951BF" w:rsidTr="00B23D75">
        <w:trPr>
          <w:trHeight w:val="617"/>
        </w:trPr>
        <w:tc>
          <w:tcPr>
            <w:tcW w:w="168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51BF" w:rsidRPr="001951BF" w:rsidRDefault="001951BF" w:rsidP="00B23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bdr w:val="none" w:sz="0" w:space="0" w:color="auto" w:frame="1"/>
              </w:rPr>
            </w:pPr>
            <w:r w:rsidRPr="001951B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bdr w:val="none" w:sz="0" w:space="0" w:color="auto" w:frame="1"/>
              </w:rPr>
              <w:t>Agency in charge:</w:t>
            </w:r>
          </w:p>
          <w:p w:rsidR="001951BF" w:rsidRPr="001951BF" w:rsidRDefault="001951BF" w:rsidP="00B23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32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51BF" w:rsidRPr="001951BF" w:rsidRDefault="001951BF" w:rsidP="00B23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951B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Thua Thien Hue Management Board of Economic and Industrial Zone</w:t>
            </w:r>
          </w:p>
        </w:tc>
      </w:tr>
      <w:tr w:rsidR="001951BF" w:rsidRPr="001951BF" w:rsidTr="00B23D75">
        <w:trPr>
          <w:trHeight w:val="617"/>
        </w:trPr>
        <w:tc>
          <w:tcPr>
            <w:tcW w:w="168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51BF" w:rsidRPr="001951BF" w:rsidRDefault="001951BF" w:rsidP="00B23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1951B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Receiving unit</w:t>
            </w:r>
            <w:r w:rsidRPr="001951B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:</w:t>
            </w:r>
          </w:p>
        </w:tc>
        <w:tc>
          <w:tcPr>
            <w:tcW w:w="332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51BF" w:rsidRPr="001951BF" w:rsidRDefault="001951BF" w:rsidP="00B23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951B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Public Administration Service Center of Thua Thien Hue Province, 01 L</w:t>
            </w:r>
            <w:r w:rsidRPr="001951B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e</w:t>
            </w:r>
            <w:r w:rsidRPr="001951B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Lai street - Hue city (Tel: </w:t>
            </w:r>
            <w:r w:rsidRPr="001951B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+84 </w:t>
            </w:r>
            <w:r w:rsidRPr="001951B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234</w:t>
            </w:r>
            <w:r w:rsidRPr="001951B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1951B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385</w:t>
            </w:r>
            <w:r w:rsidRPr="001951B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1951B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6868)</w:t>
            </w:r>
          </w:p>
        </w:tc>
      </w:tr>
      <w:tr w:rsidR="001951BF" w:rsidRPr="001951BF" w:rsidTr="00B23D75">
        <w:trPr>
          <w:trHeight w:val="309"/>
        </w:trPr>
        <w:tc>
          <w:tcPr>
            <w:tcW w:w="168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51BF" w:rsidRPr="001951BF" w:rsidRDefault="001951BF" w:rsidP="00B23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1951B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Receiving time:</w:t>
            </w:r>
          </w:p>
        </w:tc>
        <w:tc>
          <w:tcPr>
            <w:tcW w:w="332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51BF" w:rsidRPr="001951BF" w:rsidRDefault="001951BF" w:rsidP="00B23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951B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From Monday to Saturday (except for holidays as regulated)</w:t>
            </w:r>
          </w:p>
        </w:tc>
      </w:tr>
      <w:tr w:rsidR="001951BF" w:rsidRPr="001951BF" w:rsidTr="00B23D75">
        <w:trPr>
          <w:trHeight w:val="309"/>
        </w:trPr>
        <w:tc>
          <w:tcPr>
            <w:tcW w:w="168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51BF" w:rsidRPr="001951BF" w:rsidRDefault="001951BF" w:rsidP="00B23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1951B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Processing time:</w:t>
            </w:r>
          </w:p>
        </w:tc>
        <w:tc>
          <w:tcPr>
            <w:tcW w:w="332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51BF" w:rsidRPr="001951BF" w:rsidRDefault="001951BF" w:rsidP="00B23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951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  <w:t>Fifteen days</w:t>
            </w:r>
          </w:p>
        </w:tc>
      </w:tr>
      <w:tr w:rsidR="001951BF" w:rsidRPr="001951BF" w:rsidTr="00B23D75">
        <w:trPr>
          <w:trHeight w:val="309"/>
        </w:trPr>
        <w:tc>
          <w:tcPr>
            <w:tcW w:w="168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51BF" w:rsidRPr="001951BF" w:rsidRDefault="001951BF" w:rsidP="00B23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951B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Fee:</w:t>
            </w:r>
          </w:p>
        </w:tc>
        <w:tc>
          <w:tcPr>
            <w:tcW w:w="332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51BF" w:rsidRPr="001951BF" w:rsidRDefault="001951BF" w:rsidP="00B23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1951BF" w:rsidRPr="001951BF" w:rsidRDefault="001951BF" w:rsidP="001951BF">
      <w:pPr>
        <w:pStyle w:val="ListParagraph"/>
        <w:numPr>
          <w:ilvl w:val="0"/>
          <w:numId w:val="1"/>
        </w:numPr>
        <w:spacing w:line="240" w:lineRule="auto"/>
        <w:ind w:left="284" w:hanging="284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951B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Procedure:</w:t>
      </w:r>
    </w:p>
    <w:p w:rsidR="001951BF" w:rsidRPr="001951BF" w:rsidRDefault="001951BF" w:rsidP="001951BF">
      <w:pPr>
        <w:pStyle w:val="ListParagraph"/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1951B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Step 1</w:t>
      </w:r>
      <w:r w:rsidRPr="001951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Investors submit the dossier at Division of </w:t>
      </w:r>
      <w:r w:rsidRPr="001951B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R</w:t>
      </w:r>
      <w:r w:rsidRPr="001951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eceiving </w:t>
      </w:r>
      <w:r w:rsidRPr="001951B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D</w:t>
      </w:r>
      <w:r w:rsidR="00187FE4">
        <w:rPr>
          <w:rFonts w:ascii="Times New Roman" w:hAnsi="Times New Roman" w:cs="Times New Roman"/>
          <w:color w:val="000000" w:themeColor="text1"/>
          <w:sz w:val="26"/>
          <w:szCs w:val="26"/>
        </w:rPr>
        <w:t>ossier</w:t>
      </w:r>
      <w:r w:rsidRPr="001951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and </w:t>
      </w:r>
      <w:r w:rsidRPr="001951B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G</w:t>
      </w:r>
      <w:r w:rsidRPr="001951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iving </w:t>
      </w:r>
      <w:r w:rsidRPr="001951B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R</w:t>
      </w:r>
      <w:r w:rsidRPr="001951BF">
        <w:rPr>
          <w:rFonts w:ascii="Times New Roman" w:hAnsi="Times New Roman" w:cs="Times New Roman"/>
          <w:color w:val="000000" w:themeColor="text1"/>
          <w:sz w:val="26"/>
          <w:szCs w:val="26"/>
        </w:rPr>
        <w:t>esult of Thua Thien Hue Management Board of Economic and Industrial Zone (Add: 37 Nguyen Hue, Hue city, Thua Thien Hue province).</w:t>
      </w:r>
      <w:r w:rsidRPr="001951B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Kindly submit dossier and receive result from</w:t>
      </w:r>
      <w:r w:rsidRPr="001951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7:30 am - 11:00 am; 2:00 pm - 4:30 pm Monday to Friday (except for holiday and Tet).</w:t>
      </w:r>
    </w:p>
    <w:p w:rsidR="001951BF" w:rsidRPr="001951BF" w:rsidRDefault="001951BF" w:rsidP="001951BF">
      <w:pPr>
        <w:pStyle w:val="ListParagraph"/>
        <w:tabs>
          <w:tab w:val="left" w:pos="142"/>
        </w:tabs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951BF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+ </w:t>
      </w:r>
      <w:r w:rsidRPr="001951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The operational situation of the investment project and its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current </w:t>
      </w:r>
      <w:r w:rsidRPr="001951BF">
        <w:rPr>
          <w:rFonts w:ascii="Times New Roman" w:hAnsi="Times New Roman" w:cs="Times New Roman"/>
          <w:color w:val="000000" w:themeColor="text1"/>
          <w:sz w:val="26"/>
          <w:szCs w:val="26"/>
        </w:rPr>
        <w:t>State financial obligation since the Investment Registration Certificate or Investment Policy Decision was granted until the investor applies for progress extension;</w:t>
      </w:r>
    </w:p>
    <w:p w:rsidR="001951BF" w:rsidRPr="001951BF" w:rsidRDefault="001951BF" w:rsidP="001951BF">
      <w:pPr>
        <w:pStyle w:val="ListParagraph"/>
        <w:tabs>
          <w:tab w:val="left" w:pos="142"/>
        </w:tabs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951BF">
        <w:rPr>
          <w:rFonts w:ascii="Times New Roman" w:hAnsi="Times New Roman" w:cs="Times New Roman"/>
          <w:color w:val="000000" w:themeColor="text1"/>
          <w:sz w:val="26"/>
          <w:szCs w:val="26"/>
        </w:rPr>
        <w:t>+ An explanation of reason and extended duration;</w:t>
      </w:r>
    </w:p>
    <w:p w:rsidR="001951BF" w:rsidRPr="001951BF" w:rsidRDefault="001951BF" w:rsidP="001951BF">
      <w:pPr>
        <w:pStyle w:val="ListParagraph"/>
        <w:tabs>
          <w:tab w:val="left" w:pos="0"/>
          <w:tab w:val="left" w:pos="142"/>
        </w:tabs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951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+ Plan to continue the project including plans on </w:t>
      </w:r>
      <w:r w:rsidR="00F17FB9">
        <w:rPr>
          <w:rFonts w:ascii="Times New Roman" w:hAnsi="Times New Roman" w:cs="Times New Roman"/>
          <w:color w:val="000000" w:themeColor="text1"/>
          <w:sz w:val="26"/>
          <w:szCs w:val="26"/>
        </w:rPr>
        <w:t>capital contribution</w:t>
      </w:r>
      <w:r w:rsidRPr="001951BF">
        <w:rPr>
          <w:rFonts w:ascii="Times New Roman" w:hAnsi="Times New Roman" w:cs="Times New Roman"/>
          <w:color w:val="000000" w:themeColor="text1"/>
          <w:sz w:val="26"/>
          <w:szCs w:val="26"/>
        </w:rPr>
        <w:t>, basic construction progress and project activation;</w:t>
      </w:r>
    </w:p>
    <w:p w:rsidR="001951BF" w:rsidRPr="001951BF" w:rsidRDefault="001951BF" w:rsidP="001951BF">
      <w:pPr>
        <w:pStyle w:val="ListParagraph"/>
        <w:tabs>
          <w:tab w:val="left" w:pos="142"/>
        </w:tabs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951BF">
        <w:rPr>
          <w:rFonts w:ascii="Times New Roman" w:hAnsi="Times New Roman" w:cs="Times New Roman"/>
          <w:color w:val="000000" w:themeColor="text1"/>
          <w:sz w:val="26"/>
          <w:szCs w:val="26"/>
        </w:rPr>
        <w:t>+ The commitment of the investor to continue the project.</w:t>
      </w:r>
    </w:p>
    <w:p w:rsidR="001951BF" w:rsidRPr="001951BF" w:rsidRDefault="001951BF" w:rsidP="001951BF">
      <w:pPr>
        <w:pStyle w:val="ListParagraph"/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1951B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Step 2</w:t>
      </w:r>
      <w:r w:rsidRPr="001951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If the dossier is </w:t>
      </w:r>
      <w:r w:rsidR="00E42549">
        <w:rPr>
          <w:rFonts w:ascii="Times New Roman" w:hAnsi="Times New Roman" w:cs="Times New Roman"/>
          <w:color w:val="000000" w:themeColor="text1"/>
          <w:sz w:val="26"/>
          <w:szCs w:val="26"/>
        </w:rPr>
        <w:t>not accepted</w:t>
      </w:r>
      <w:r w:rsidRPr="001951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the Management Board would send a written announcement of invalid information to the investor within 3 days since the dossier is submitted. </w:t>
      </w:r>
    </w:p>
    <w:p w:rsidR="001951BF" w:rsidRPr="001951BF" w:rsidRDefault="001951BF" w:rsidP="001951BF">
      <w:pPr>
        <w:pStyle w:val="ListParagraph"/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1951B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Step 3</w:t>
      </w:r>
      <w:r w:rsidRPr="001951BF">
        <w:rPr>
          <w:rFonts w:ascii="Times New Roman" w:hAnsi="Times New Roman" w:cs="Times New Roman"/>
          <w:color w:val="000000" w:themeColor="text1"/>
          <w:sz w:val="26"/>
          <w:szCs w:val="26"/>
        </w:rPr>
        <w:t>: Within 15 days since the dossier is submitted, the management Board</w:t>
      </w:r>
      <w:r w:rsidR="00F17F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has</w:t>
      </w:r>
      <w:r w:rsidRPr="001951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written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document </w:t>
      </w:r>
      <w:r w:rsidRPr="001951BF">
        <w:rPr>
          <w:rFonts w:ascii="Times New Roman" w:hAnsi="Times New Roman" w:cs="Times New Roman"/>
          <w:color w:val="000000" w:themeColor="text1"/>
          <w:sz w:val="26"/>
          <w:szCs w:val="26"/>
        </w:rPr>
        <w:t>on investment progress</w:t>
      </w:r>
      <w:r w:rsidR="00187F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extension</w:t>
      </w:r>
      <w:r w:rsidRPr="001951B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1951BF" w:rsidRPr="001951BF" w:rsidRDefault="001951BF" w:rsidP="001951BF">
      <w:pP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</w:rPr>
      </w:pPr>
      <w:r w:rsidRPr="001951BF">
        <w:rPr>
          <w:rStyle w:val="Strong"/>
          <w:rFonts w:ascii="Times New Roman" w:hAnsi="Times New Roman" w:cs="Times New Roman"/>
          <w:color w:val="000000" w:themeColor="text1"/>
          <w:sz w:val="26"/>
          <w:szCs w:val="26"/>
          <w:bdr w:val="nil"/>
        </w:rPr>
        <w:t>Method of implementation:</w:t>
      </w:r>
    </w:p>
    <w:p w:rsidR="001951BF" w:rsidRPr="001951BF" w:rsidRDefault="001951BF" w:rsidP="001951BF">
      <w:pPr>
        <w:pStyle w:val="NormalWeb"/>
        <w:shd w:val="clear" w:color="auto" w:fill="FFFFFF"/>
        <w:spacing w:line="276" w:lineRule="auto"/>
        <w:jc w:val="both"/>
        <w:rPr>
          <w:color w:val="000000" w:themeColor="text1"/>
          <w:sz w:val="26"/>
          <w:szCs w:val="26"/>
          <w:bdr w:val="nil"/>
        </w:rPr>
      </w:pPr>
      <w:r w:rsidRPr="001951BF">
        <w:rPr>
          <w:color w:val="000000" w:themeColor="text1"/>
          <w:sz w:val="26"/>
          <w:szCs w:val="26"/>
          <w:bdr w:val="nil"/>
        </w:rPr>
        <w:lastRenderedPageBreak/>
        <w:t>Organization</w:t>
      </w:r>
      <w:r w:rsidRPr="001951BF">
        <w:rPr>
          <w:color w:val="000000" w:themeColor="text1"/>
          <w:sz w:val="26"/>
          <w:szCs w:val="26"/>
          <w:bdr w:val="nil"/>
          <w:lang w:val="vi-VN"/>
        </w:rPr>
        <w:t>s</w:t>
      </w:r>
      <w:r w:rsidRPr="001951BF">
        <w:rPr>
          <w:color w:val="000000" w:themeColor="text1"/>
          <w:sz w:val="26"/>
          <w:szCs w:val="26"/>
          <w:bdr w:val="nil"/>
        </w:rPr>
        <w:t>/individual</w:t>
      </w:r>
      <w:r w:rsidRPr="001951BF">
        <w:rPr>
          <w:color w:val="000000" w:themeColor="text1"/>
          <w:sz w:val="26"/>
          <w:szCs w:val="26"/>
          <w:bdr w:val="nil"/>
          <w:lang w:val="vi-VN"/>
        </w:rPr>
        <w:t>s</w:t>
      </w:r>
      <w:r w:rsidRPr="001951BF">
        <w:rPr>
          <w:color w:val="000000" w:themeColor="text1"/>
          <w:sz w:val="26"/>
          <w:szCs w:val="26"/>
          <w:bdr w:val="nil"/>
        </w:rPr>
        <w:t xml:space="preserve"> directly submit and receive the dossier at </w:t>
      </w:r>
      <w:r w:rsidRPr="001951BF">
        <w:rPr>
          <w:color w:val="000000" w:themeColor="text1"/>
          <w:sz w:val="26"/>
          <w:szCs w:val="26"/>
          <w:bdr w:val="nil"/>
          <w:lang w:val="vi-VN"/>
        </w:rPr>
        <w:t>D</w:t>
      </w:r>
      <w:r w:rsidRPr="001951BF">
        <w:rPr>
          <w:color w:val="000000" w:themeColor="text1"/>
          <w:sz w:val="26"/>
          <w:szCs w:val="26"/>
          <w:bdr w:val="nil"/>
        </w:rPr>
        <w:t xml:space="preserve">ivision of </w:t>
      </w:r>
      <w:r w:rsidRPr="001951BF">
        <w:rPr>
          <w:color w:val="000000" w:themeColor="text1"/>
          <w:sz w:val="26"/>
          <w:szCs w:val="26"/>
          <w:bdr w:val="nil"/>
          <w:lang w:val="vi-VN"/>
        </w:rPr>
        <w:t>R</w:t>
      </w:r>
      <w:r w:rsidRPr="001951BF">
        <w:rPr>
          <w:color w:val="000000" w:themeColor="text1"/>
          <w:sz w:val="26"/>
          <w:szCs w:val="26"/>
          <w:bdr w:val="nil"/>
        </w:rPr>
        <w:t xml:space="preserve">eceiving </w:t>
      </w:r>
      <w:r w:rsidRPr="001951BF">
        <w:rPr>
          <w:color w:val="000000" w:themeColor="text1"/>
          <w:sz w:val="26"/>
          <w:szCs w:val="26"/>
          <w:bdr w:val="nil"/>
          <w:lang w:val="vi-VN"/>
        </w:rPr>
        <w:t>D</w:t>
      </w:r>
      <w:r w:rsidRPr="001951BF">
        <w:rPr>
          <w:color w:val="000000" w:themeColor="text1"/>
          <w:sz w:val="26"/>
          <w:szCs w:val="26"/>
          <w:bdr w:val="nil"/>
        </w:rPr>
        <w:t xml:space="preserve">ossiers and </w:t>
      </w:r>
      <w:r w:rsidRPr="001951BF">
        <w:rPr>
          <w:color w:val="000000" w:themeColor="text1"/>
          <w:sz w:val="26"/>
          <w:szCs w:val="26"/>
          <w:bdr w:val="nil"/>
          <w:lang w:val="vi-VN"/>
        </w:rPr>
        <w:t>G</w:t>
      </w:r>
      <w:r w:rsidRPr="001951BF">
        <w:rPr>
          <w:color w:val="000000" w:themeColor="text1"/>
          <w:sz w:val="26"/>
          <w:szCs w:val="26"/>
          <w:bdr w:val="nil"/>
        </w:rPr>
        <w:t xml:space="preserve">iving </w:t>
      </w:r>
      <w:r w:rsidRPr="001951BF">
        <w:rPr>
          <w:color w:val="000000" w:themeColor="text1"/>
          <w:sz w:val="26"/>
          <w:szCs w:val="26"/>
          <w:bdr w:val="nil"/>
          <w:lang w:val="vi-VN"/>
        </w:rPr>
        <w:t>R</w:t>
      </w:r>
      <w:r w:rsidRPr="001951BF">
        <w:rPr>
          <w:color w:val="000000" w:themeColor="text1"/>
          <w:sz w:val="26"/>
          <w:szCs w:val="26"/>
          <w:bdr w:val="nil"/>
        </w:rPr>
        <w:t xml:space="preserve">esults </w:t>
      </w:r>
      <w:r w:rsidRPr="001951BF">
        <w:rPr>
          <w:color w:val="000000" w:themeColor="text1"/>
          <w:sz w:val="26"/>
          <w:szCs w:val="26"/>
          <w:bdr w:val="nil"/>
          <w:lang w:val="vi-VN"/>
        </w:rPr>
        <w:t xml:space="preserve">- </w:t>
      </w:r>
      <w:r w:rsidRPr="001951BF">
        <w:rPr>
          <w:color w:val="000000" w:themeColor="text1"/>
          <w:sz w:val="26"/>
          <w:szCs w:val="26"/>
          <w:bdr w:val="nil"/>
        </w:rPr>
        <w:t>Thua Thien Hue Management Board of Economic and Industrial Zone. Submission by post is also accepted.</w:t>
      </w:r>
    </w:p>
    <w:p w:rsidR="001951BF" w:rsidRDefault="001951BF" w:rsidP="001951BF">
      <w:pPr>
        <w:pStyle w:val="NormalWeb"/>
        <w:numPr>
          <w:ilvl w:val="0"/>
          <w:numId w:val="1"/>
        </w:numPr>
        <w:shd w:val="clear" w:color="auto" w:fill="FFFFFF"/>
        <w:spacing w:line="276" w:lineRule="auto"/>
        <w:ind w:left="426" w:hanging="426"/>
        <w:jc w:val="both"/>
        <w:rPr>
          <w:b/>
          <w:color w:val="000000" w:themeColor="text1"/>
          <w:sz w:val="26"/>
          <w:szCs w:val="26"/>
        </w:rPr>
      </w:pPr>
      <w:r w:rsidRPr="001951BF">
        <w:rPr>
          <w:b/>
          <w:color w:val="000000" w:themeColor="text1"/>
          <w:sz w:val="26"/>
          <w:szCs w:val="26"/>
        </w:rPr>
        <w:t>Dossier:</w:t>
      </w:r>
    </w:p>
    <w:tbl>
      <w:tblPr>
        <w:tblStyle w:val="TableGrid"/>
        <w:tblW w:w="10065" w:type="dxa"/>
        <w:tblInd w:w="-34" w:type="dxa"/>
        <w:tblLook w:val="04A0"/>
      </w:tblPr>
      <w:tblGrid>
        <w:gridCol w:w="7939"/>
        <w:gridCol w:w="2126"/>
      </w:tblGrid>
      <w:tr w:rsidR="001951BF" w:rsidTr="00F17FB9">
        <w:tc>
          <w:tcPr>
            <w:tcW w:w="7939" w:type="dxa"/>
          </w:tcPr>
          <w:p w:rsidR="001951BF" w:rsidRDefault="001951BF" w:rsidP="001951BF">
            <w:pPr>
              <w:pStyle w:val="NormalWeb"/>
              <w:spacing w:line="276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1951BF">
              <w:rPr>
                <w:b/>
                <w:bCs/>
                <w:color w:val="000000" w:themeColor="text1"/>
                <w:sz w:val="26"/>
                <w:szCs w:val="26"/>
              </w:rPr>
              <w:t>Documents</w:t>
            </w:r>
          </w:p>
        </w:tc>
        <w:tc>
          <w:tcPr>
            <w:tcW w:w="2126" w:type="dxa"/>
          </w:tcPr>
          <w:p w:rsidR="001951BF" w:rsidRDefault="001951BF" w:rsidP="001951BF">
            <w:pPr>
              <w:pStyle w:val="NormalWeb"/>
              <w:spacing w:line="276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1951BF">
              <w:rPr>
                <w:b/>
                <w:bCs/>
                <w:color w:val="000000" w:themeColor="text1"/>
                <w:sz w:val="26"/>
                <w:szCs w:val="26"/>
              </w:rPr>
              <w:t>Download</w:t>
            </w:r>
          </w:p>
        </w:tc>
      </w:tr>
      <w:tr w:rsidR="001951BF" w:rsidTr="00F17FB9">
        <w:tc>
          <w:tcPr>
            <w:tcW w:w="7939" w:type="dxa"/>
          </w:tcPr>
          <w:p w:rsidR="001951BF" w:rsidRDefault="001951BF" w:rsidP="001951BF">
            <w:pPr>
              <w:pStyle w:val="NormalWeb"/>
              <w:spacing w:line="276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1951BF">
              <w:rPr>
                <w:color w:val="000000" w:themeColor="text1"/>
                <w:sz w:val="26"/>
                <w:szCs w:val="26"/>
              </w:rPr>
              <w:t xml:space="preserve">Request for </w:t>
            </w:r>
            <w:r w:rsidRPr="001951BF">
              <w:rPr>
                <w:sz w:val="26"/>
                <w:szCs w:val="26"/>
              </w:rPr>
              <w:t>investment project extension</w:t>
            </w:r>
          </w:p>
        </w:tc>
        <w:tc>
          <w:tcPr>
            <w:tcW w:w="2126" w:type="dxa"/>
          </w:tcPr>
          <w:p w:rsidR="001951BF" w:rsidRDefault="001951BF" w:rsidP="001951BF">
            <w:pPr>
              <w:pStyle w:val="NormalWeb"/>
              <w:spacing w:line="276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1951BF" w:rsidRPr="001951BF" w:rsidRDefault="001951BF" w:rsidP="001951BF">
      <w:pPr>
        <w:pStyle w:val="ListParagraph"/>
        <w:numPr>
          <w:ilvl w:val="0"/>
          <w:numId w:val="1"/>
        </w:numPr>
        <w:tabs>
          <w:tab w:val="left" w:pos="284"/>
          <w:tab w:val="left" w:pos="426"/>
        </w:tabs>
        <w:ind w:hanging="108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951B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Requirement:</w:t>
      </w:r>
    </w:p>
    <w:p w:rsidR="001951BF" w:rsidRPr="001951BF" w:rsidRDefault="001951BF" w:rsidP="001951BF">
      <w:pPr>
        <w:pStyle w:val="ListParagraph"/>
        <w:tabs>
          <w:tab w:val="left" w:pos="284"/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951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Investors wish to </w:t>
      </w:r>
      <w:r w:rsidRPr="001951B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extend the progress</w:t>
      </w:r>
      <w:r w:rsidRPr="001951B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of </w:t>
      </w:r>
      <w:r w:rsidRPr="001951BF">
        <w:rPr>
          <w:rFonts w:ascii="Times New Roman" w:hAnsi="Times New Roman" w:cs="Times New Roman"/>
          <w:color w:val="000000" w:themeColor="text1"/>
          <w:sz w:val="26"/>
          <w:szCs w:val="26"/>
        </w:rPr>
        <w:t>investment capital, constructio</w:t>
      </w:r>
      <w:r w:rsidR="00F17FB9">
        <w:rPr>
          <w:rFonts w:ascii="Times New Roman" w:hAnsi="Times New Roman" w:cs="Times New Roman"/>
          <w:color w:val="000000" w:themeColor="text1"/>
          <w:sz w:val="26"/>
          <w:szCs w:val="26"/>
        </w:rPr>
        <w:t>n and</w:t>
      </w:r>
      <w:r w:rsidRPr="001951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project</w:t>
      </w:r>
      <w:r w:rsidR="00F17F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activation </w:t>
      </w:r>
      <w:r w:rsidRPr="001951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(if any); the progress of </w:t>
      </w:r>
      <w:r w:rsidR="00F17F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deploying </w:t>
      </w:r>
      <w:r w:rsidRPr="001951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operational objective of the investment project compared to the progress regulated on the Investment Registration Certificate or Investment Policy Decision. </w:t>
      </w:r>
    </w:p>
    <w:p w:rsidR="001951BF" w:rsidRPr="001951BF" w:rsidRDefault="001951BF" w:rsidP="001951BF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951B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Legal basis: </w:t>
      </w:r>
    </w:p>
    <w:tbl>
      <w:tblPr>
        <w:tblStyle w:val="TableGrid"/>
        <w:tblW w:w="10045" w:type="dxa"/>
        <w:tblLook w:val="04A0"/>
      </w:tblPr>
      <w:tblGrid>
        <w:gridCol w:w="7905"/>
        <w:gridCol w:w="2140"/>
      </w:tblGrid>
      <w:tr w:rsidR="001951BF" w:rsidRPr="001951BF" w:rsidTr="001951BF">
        <w:trPr>
          <w:trHeight w:val="297"/>
        </w:trPr>
        <w:tc>
          <w:tcPr>
            <w:tcW w:w="7905" w:type="dxa"/>
          </w:tcPr>
          <w:p w:rsidR="001951BF" w:rsidRPr="001951BF" w:rsidRDefault="001951BF" w:rsidP="00B23D75">
            <w:pPr>
              <w:pStyle w:val="NormalWeb"/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951BF">
              <w:rPr>
                <w:b/>
                <w:color w:val="000000" w:themeColor="text1"/>
                <w:sz w:val="26"/>
                <w:szCs w:val="26"/>
              </w:rPr>
              <w:t>Legal documents</w:t>
            </w:r>
          </w:p>
        </w:tc>
        <w:tc>
          <w:tcPr>
            <w:tcW w:w="2140" w:type="dxa"/>
          </w:tcPr>
          <w:p w:rsidR="001951BF" w:rsidRPr="001951BF" w:rsidRDefault="001951BF" w:rsidP="00B23D75">
            <w:pPr>
              <w:pStyle w:val="NormalWeb"/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951BF">
              <w:rPr>
                <w:b/>
                <w:color w:val="000000" w:themeColor="text1"/>
                <w:sz w:val="26"/>
                <w:szCs w:val="26"/>
              </w:rPr>
              <w:t>Attachment</w:t>
            </w:r>
          </w:p>
        </w:tc>
      </w:tr>
      <w:tr w:rsidR="001951BF" w:rsidRPr="001951BF" w:rsidTr="001951BF">
        <w:trPr>
          <w:trHeight w:val="280"/>
        </w:trPr>
        <w:tc>
          <w:tcPr>
            <w:tcW w:w="7905" w:type="dxa"/>
          </w:tcPr>
          <w:p w:rsidR="001951BF" w:rsidRPr="001951BF" w:rsidRDefault="001951BF" w:rsidP="001951B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951B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  <w:t>Decree No. 16/2015/TT-BKHDT of Ministry of Planning and Investment promulgated on November 18, 2015</w:t>
            </w:r>
          </w:p>
        </w:tc>
        <w:tc>
          <w:tcPr>
            <w:tcW w:w="2140" w:type="dxa"/>
          </w:tcPr>
          <w:p w:rsidR="001951BF" w:rsidRPr="001951BF" w:rsidRDefault="001951BF" w:rsidP="00B23D75">
            <w:pPr>
              <w:pStyle w:val="ListParagraph"/>
              <w:tabs>
                <w:tab w:val="left" w:pos="284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951BF" w:rsidRPr="001951BF" w:rsidTr="001951BF">
        <w:trPr>
          <w:trHeight w:val="280"/>
        </w:trPr>
        <w:tc>
          <w:tcPr>
            <w:tcW w:w="7905" w:type="dxa"/>
          </w:tcPr>
          <w:p w:rsidR="001951BF" w:rsidRPr="001951BF" w:rsidRDefault="001951BF" w:rsidP="001951B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1951B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  <w:t>Law No. 67/2014/QH13 of National Assembly promulgated on November 26, 2014</w:t>
            </w:r>
          </w:p>
        </w:tc>
        <w:tc>
          <w:tcPr>
            <w:tcW w:w="2140" w:type="dxa"/>
          </w:tcPr>
          <w:p w:rsidR="001951BF" w:rsidRPr="001951BF" w:rsidRDefault="001951BF" w:rsidP="00B23D75">
            <w:pPr>
              <w:pStyle w:val="ListParagraph"/>
              <w:tabs>
                <w:tab w:val="left" w:pos="284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BB7DD9" w:rsidRPr="001951BF" w:rsidRDefault="00187FE4">
      <w:pPr>
        <w:rPr>
          <w:rFonts w:ascii="Times New Roman" w:hAnsi="Times New Roman" w:cs="Times New Roman"/>
          <w:sz w:val="26"/>
          <w:szCs w:val="26"/>
        </w:rPr>
      </w:pPr>
    </w:p>
    <w:sectPr w:rsidR="00BB7DD9" w:rsidRPr="001951BF" w:rsidSect="00187FE4"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23E83"/>
    <w:multiLevelType w:val="hybridMultilevel"/>
    <w:tmpl w:val="372C06C2"/>
    <w:lvl w:ilvl="0" w:tplc="9312B4C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9D01E5"/>
    <w:multiLevelType w:val="hybridMultilevel"/>
    <w:tmpl w:val="5CC8C5DE"/>
    <w:lvl w:ilvl="0" w:tplc="5F583E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1951BF"/>
    <w:rsid w:val="00187FE4"/>
    <w:rsid w:val="001951BF"/>
    <w:rsid w:val="00316B50"/>
    <w:rsid w:val="003861A4"/>
    <w:rsid w:val="00A32259"/>
    <w:rsid w:val="00E42549"/>
    <w:rsid w:val="00F1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1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1B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951BF"/>
    <w:rPr>
      <w:b/>
      <w:bCs/>
    </w:rPr>
  </w:style>
  <w:style w:type="paragraph" w:styleId="NormalWeb">
    <w:name w:val="Normal (Web)"/>
    <w:basedOn w:val="Normal"/>
    <w:uiPriority w:val="99"/>
    <w:unhideWhenUsed/>
    <w:rsid w:val="00195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95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ntnngoc</dc:creator>
  <cp:lastModifiedBy>ntnngoc</cp:lastModifiedBy>
  <cp:revision>2</cp:revision>
  <dcterms:created xsi:type="dcterms:W3CDTF">2019-05-14T08:59:00Z</dcterms:created>
  <dcterms:modified xsi:type="dcterms:W3CDTF">2019-05-14T09:21:00Z</dcterms:modified>
</cp:coreProperties>
</file>