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49" w:rsidRDefault="00D572F0" w:rsidP="003E1D4A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Termination of</w:t>
      </w:r>
      <w:r w:rsidR="00D003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the operation of foreign investors’ executive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office under</w:t>
      </w:r>
      <w:r w:rsidR="00D003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Business Cooperation Contract</w:t>
      </w:r>
    </w:p>
    <w:p w:rsidR="00DA6D58" w:rsidRPr="001E0967" w:rsidRDefault="00DA6D58" w:rsidP="00DA6D58">
      <w:pPr>
        <w:pStyle w:val="ListParagraph"/>
        <w:numPr>
          <w:ilvl w:val="0"/>
          <w:numId w:val="2"/>
        </w:numPr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</w:rPr>
      </w:pPr>
      <w:r w:rsidRPr="001E09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</w:rPr>
        <w:t>Information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6"/>
        <w:gridCol w:w="6374"/>
      </w:tblGrid>
      <w:tr w:rsidR="00DA6D58" w:rsidRPr="001E0967" w:rsidTr="00574B68">
        <w:trPr>
          <w:trHeight w:val="614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D58" w:rsidRPr="001E0967" w:rsidRDefault="00DA6D58" w:rsidP="00574B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09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Field: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D58" w:rsidRPr="001E0967" w:rsidRDefault="00DA6D58" w:rsidP="00574B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09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Investment</w:t>
            </w:r>
          </w:p>
        </w:tc>
      </w:tr>
      <w:tr w:rsidR="00DA6D58" w:rsidRPr="001E0967" w:rsidTr="00574B68">
        <w:trPr>
          <w:trHeight w:val="617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D58" w:rsidRPr="001E0967" w:rsidRDefault="00DA6D58" w:rsidP="00574B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1E09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Agency in charge:</w:t>
            </w:r>
          </w:p>
          <w:p w:rsidR="00DA6D58" w:rsidRPr="001E0967" w:rsidRDefault="00DA6D58" w:rsidP="00574B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D58" w:rsidRPr="001E0967" w:rsidRDefault="00DA6D58" w:rsidP="00574B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09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Thua Thien Hue Management Board of Economic and Industrial Zone</w:t>
            </w:r>
          </w:p>
        </w:tc>
      </w:tr>
      <w:tr w:rsidR="00DA6D58" w:rsidRPr="001E0967" w:rsidTr="00574B68">
        <w:trPr>
          <w:trHeight w:val="617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D58" w:rsidRPr="001E0967" w:rsidRDefault="00DA6D58" w:rsidP="00574B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1E09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Receiving unit</w:t>
            </w:r>
            <w:r w:rsidRPr="001E09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D58" w:rsidRPr="001E0967" w:rsidRDefault="00DA6D58" w:rsidP="00574B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09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Public </w:t>
            </w:r>
            <w:r w:rsidR="00D003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Executive</w:t>
            </w:r>
            <w:r w:rsidRPr="001E09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Service Center of Thua Thien Hue Province, 01 L</w:t>
            </w:r>
            <w:r w:rsidRPr="001E09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e</w:t>
            </w:r>
            <w:r w:rsidRPr="001E09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Lai street - Hue city (Tel: </w:t>
            </w:r>
            <w:r w:rsidRPr="001E09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+84 </w:t>
            </w:r>
            <w:r w:rsidRPr="001E09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234</w:t>
            </w:r>
            <w:r w:rsidRPr="001E09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E09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385</w:t>
            </w:r>
            <w:r w:rsidRPr="001E09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E09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6868)</w:t>
            </w:r>
          </w:p>
        </w:tc>
      </w:tr>
      <w:tr w:rsidR="00DA6D58" w:rsidRPr="001E0967" w:rsidTr="00574B68">
        <w:trPr>
          <w:trHeight w:val="309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D58" w:rsidRPr="001E0967" w:rsidRDefault="00DA6D58" w:rsidP="00574B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1E09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Receiving time: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D58" w:rsidRPr="001E0967" w:rsidRDefault="00DA6D58" w:rsidP="00574B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09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From Monday to Saturday (except for holidays as regulated)</w:t>
            </w:r>
          </w:p>
        </w:tc>
      </w:tr>
      <w:tr w:rsidR="00DA6D58" w:rsidRPr="001E0967" w:rsidTr="00574B68">
        <w:trPr>
          <w:trHeight w:val="309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D58" w:rsidRPr="001E0967" w:rsidRDefault="00DA6D58" w:rsidP="00574B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1E09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Processing time: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D58" w:rsidRPr="001E0967" w:rsidRDefault="00DA6D58" w:rsidP="00574B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Fifteen</w:t>
            </w:r>
            <w:r w:rsidRPr="001E09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days</w:t>
            </w:r>
          </w:p>
        </w:tc>
      </w:tr>
      <w:tr w:rsidR="00DA6D58" w:rsidRPr="001E0967" w:rsidTr="00574B68">
        <w:trPr>
          <w:trHeight w:val="309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D58" w:rsidRPr="001E0967" w:rsidRDefault="00DA6D58" w:rsidP="00574B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09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Fee: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D58" w:rsidRPr="001E0967" w:rsidRDefault="00DA6D58" w:rsidP="00574B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DA6D58" w:rsidRPr="001E0967" w:rsidRDefault="00DA6D58" w:rsidP="00DA6D58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E09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Procedure:</w:t>
      </w:r>
    </w:p>
    <w:p w:rsidR="00DA6D58" w:rsidRPr="00DA6D58" w:rsidRDefault="00DA6D58" w:rsidP="00DA6D58">
      <w:pPr>
        <w:pStyle w:val="ListParagraph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E09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Step 1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Within 07 working days since</w:t>
      </w:r>
      <w:r w:rsidR="00D57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</w:t>
      </w:r>
      <w:r w:rsidR="00A673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operation </w:t>
      </w:r>
      <w:r w:rsidR="00D57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termination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decision of </w:t>
      </w:r>
      <w:r w:rsidR="00A673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</w:t>
      </w:r>
      <w:r w:rsidR="00D00349">
        <w:rPr>
          <w:rFonts w:ascii="Times New Roman" w:hAnsi="Times New Roman" w:cs="Times New Roman"/>
          <w:color w:val="000000" w:themeColor="text1"/>
          <w:sz w:val="26"/>
          <w:szCs w:val="26"/>
        </w:rPr>
        <w:t>executive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office is issued, the foreign invest</w:t>
      </w:r>
      <w:r w:rsidR="00A673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ors shall submit dossier to 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</w:rPr>
        <w:t>Thua Thien Hue Management Board of Economic and Industrial Zone (Add: 37 Nguyen Hue, Hue city, Thua Thien Hue province</w:t>
      </w:r>
      <w:r w:rsidR="00C25ACA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</w:t>
      </w:r>
      <w:r w:rsidR="00A673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place where the </w:t>
      </w:r>
      <w:r w:rsidR="00D00349">
        <w:rPr>
          <w:rFonts w:ascii="Times New Roman" w:hAnsi="Times New Roman" w:cs="Times New Roman"/>
          <w:color w:val="000000" w:themeColor="text1"/>
          <w:sz w:val="26"/>
          <w:szCs w:val="26"/>
        </w:rPr>
        <w:t>executive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office is located.</w:t>
      </w:r>
    </w:p>
    <w:p w:rsidR="00DA6D58" w:rsidRPr="00DA6D58" w:rsidRDefault="00DA6D58" w:rsidP="00DA6D58">
      <w:pPr>
        <w:pStyle w:val="ListParagraph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Step 2</w:t>
      </w:r>
      <w:r w:rsidRPr="00DA6D5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Within 15 days since adequate dossier is submitted, the Management Board </w:t>
      </w:r>
      <w:r w:rsidR="00A673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reclaimed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the</w:t>
      </w:r>
      <w:r w:rsidR="00A673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operation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registration certificate of the </w:t>
      </w:r>
      <w:r w:rsidR="00D00349">
        <w:rPr>
          <w:rFonts w:ascii="Times New Roman" w:hAnsi="Times New Roman" w:cs="Times New Roman"/>
          <w:color w:val="000000" w:themeColor="text1"/>
          <w:sz w:val="26"/>
          <w:szCs w:val="26"/>
        </w:rPr>
        <w:t>executive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office.</w:t>
      </w:r>
    </w:p>
    <w:p w:rsidR="00DA6D58" w:rsidRPr="001E0967" w:rsidRDefault="00DA6D58" w:rsidP="00DA6D58">
      <w:pPr>
        <w:pStyle w:val="ListParagraph"/>
        <w:tabs>
          <w:tab w:val="left" w:pos="142"/>
        </w:tabs>
        <w:ind w:left="0"/>
        <w:jc w:val="both"/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il"/>
        </w:rPr>
      </w:pPr>
      <w:r w:rsidRPr="001E096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- </w:t>
      </w:r>
      <w:r w:rsidRPr="001E0967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il"/>
        </w:rPr>
        <w:t>Method of implementation:</w:t>
      </w:r>
    </w:p>
    <w:p w:rsidR="00DA6D58" w:rsidRDefault="00DA6D58" w:rsidP="00DA6D58">
      <w:pPr>
        <w:pStyle w:val="ListParagraph"/>
        <w:tabs>
          <w:tab w:val="left" w:pos="142"/>
        </w:tabs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</w:pP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>Organization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  <w:lang w:val="vi-VN"/>
        </w:rPr>
        <w:t>s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>/individual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  <w:lang w:val="vi-VN"/>
        </w:rPr>
        <w:t>s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 xml:space="preserve"> directly submit and receive the dossier at 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  <w:lang w:val="vi-VN"/>
        </w:rPr>
        <w:t>D</w:t>
      </w:r>
      <w:proofErr w:type="spellStart"/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>ivision</w:t>
      </w:r>
      <w:proofErr w:type="spellEnd"/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 xml:space="preserve"> of 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  <w:lang w:val="vi-VN"/>
        </w:rPr>
        <w:t>R</w:t>
      </w:r>
      <w:proofErr w:type="spellStart"/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>eceiving</w:t>
      </w:r>
      <w:proofErr w:type="spellEnd"/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 xml:space="preserve"> 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  <w:lang w:val="vi-VN"/>
        </w:rPr>
        <w:t>D</w:t>
      </w:r>
      <w:proofErr w:type="spellStart"/>
      <w:r w:rsidR="00E346A3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>ossier</w:t>
      </w:r>
      <w:proofErr w:type="spellEnd"/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 xml:space="preserve"> and 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  <w:lang w:val="vi-VN"/>
        </w:rPr>
        <w:t>G</w:t>
      </w:r>
      <w:proofErr w:type="spellStart"/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>iving</w:t>
      </w:r>
      <w:proofErr w:type="spellEnd"/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 xml:space="preserve"> 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  <w:lang w:val="vi-VN"/>
        </w:rPr>
        <w:t>R</w:t>
      </w:r>
      <w:proofErr w:type="spellStart"/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>esults</w:t>
      </w:r>
      <w:proofErr w:type="spellEnd"/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 xml:space="preserve"> 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  <w:lang w:val="vi-VN"/>
        </w:rPr>
        <w:t xml:space="preserve">- </w:t>
      </w:r>
      <w:proofErr w:type="spellStart"/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>Thua</w:t>
      </w:r>
      <w:proofErr w:type="spellEnd"/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>Thien</w:t>
      </w:r>
      <w:proofErr w:type="spellEnd"/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 xml:space="preserve"> Hue Management Board of Economic and Industrial Zone. Submission by post is also accepted.</w:t>
      </w:r>
    </w:p>
    <w:p w:rsidR="003E1D4A" w:rsidRPr="00A67369" w:rsidRDefault="00D00349" w:rsidP="00A67369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color w:val="000000" w:themeColor="text1"/>
          <w:sz w:val="26"/>
          <w:szCs w:val="26"/>
          <w:bdr w:val="nil"/>
        </w:rPr>
      </w:pPr>
      <w:r w:rsidRPr="00D00349">
        <w:rPr>
          <w:rFonts w:ascii="Times New Roman" w:hAnsi="Times New Roman" w:cs="Times New Roman"/>
          <w:b/>
          <w:color w:val="000000" w:themeColor="text1"/>
          <w:sz w:val="26"/>
          <w:szCs w:val="26"/>
          <w:bdr w:val="nil"/>
        </w:rPr>
        <w:t>Dossier:</w:t>
      </w:r>
    </w:p>
    <w:tbl>
      <w:tblPr>
        <w:tblStyle w:val="TableGrid"/>
        <w:tblW w:w="9781" w:type="dxa"/>
        <w:tblLayout w:type="fixed"/>
        <w:tblLook w:val="04A0"/>
      </w:tblPr>
      <w:tblGrid>
        <w:gridCol w:w="8222"/>
        <w:gridCol w:w="1559"/>
      </w:tblGrid>
      <w:tr w:rsidR="003E1D4A" w:rsidRPr="003E1D4A" w:rsidTr="00037CA2">
        <w:trPr>
          <w:trHeight w:val="132"/>
        </w:trPr>
        <w:tc>
          <w:tcPr>
            <w:tcW w:w="8222" w:type="dxa"/>
            <w:hideMark/>
          </w:tcPr>
          <w:p w:rsidR="00E346A3" w:rsidRPr="003E1D4A" w:rsidRDefault="00E346A3" w:rsidP="003E1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Names of document</w:t>
            </w:r>
          </w:p>
        </w:tc>
        <w:tc>
          <w:tcPr>
            <w:tcW w:w="1559" w:type="dxa"/>
            <w:noWrap/>
            <w:hideMark/>
          </w:tcPr>
          <w:p w:rsidR="00E346A3" w:rsidRPr="003E1D4A" w:rsidRDefault="00E346A3" w:rsidP="003E1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Download</w:t>
            </w:r>
          </w:p>
        </w:tc>
      </w:tr>
      <w:tr w:rsidR="003E1D4A" w:rsidRPr="003E1D4A" w:rsidTr="00037CA2">
        <w:trPr>
          <w:trHeight w:val="132"/>
        </w:trPr>
        <w:tc>
          <w:tcPr>
            <w:tcW w:w="8222" w:type="dxa"/>
            <w:hideMark/>
          </w:tcPr>
          <w:p w:rsidR="00DA6D58" w:rsidRPr="003E1D4A" w:rsidRDefault="00A67369" w:rsidP="003E1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Operation termination decision of the executive office in case the executive office is terminated before the due day;</w:t>
            </w:r>
          </w:p>
        </w:tc>
        <w:tc>
          <w:tcPr>
            <w:tcW w:w="1559" w:type="dxa"/>
            <w:hideMark/>
          </w:tcPr>
          <w:p w:rsidR="003E1D4A" w:rsidRPr="003E1D4A" w:rsidRDefault="003E1D4A" w:rsidP="003E1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1D4A" w:rsidRPr="003E1D4A" w:rsidTr="00037CA2">
        <w:trPr>
          <w:trHeight w:val="132"/>
        </w:trPr>
        <w:tc>
          <w:tcPr>
            <w:tcW w:w="8222" w:type="dxa"/>
            <w:hideMark/>
          </w:tcPr>
          <w:p w:rsidR="00DA6D58" w:rsidRPr="003E1D4A" w:rsidRDefault="00A67369" w:rsidP="003E1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List of creditors </w:t>
            </w:r>
            <w:r w:rsidR="00DA6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and </w:t>
            </w:r>
            <w:r w:rsidR="00E346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paid</w:t>
            </w:r>
            <w:r w:rsidR="00DA6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25A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debts</w:t>
            </w:r>
            <w:r w:rsidR="00DA6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</w:tc>
        <w:tc>
          <w:tcPr>
            <w:tcW w:w="1559" w:type="dxa"/>
            <w:hideMark/>
          </w:tcPr>
          <w:p w:rsidR="003E1D4A" w:rsidRPr="003E1D4A" w:rsidRDefault="003E1D4A" w:rsidP="003E1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1D4A" w:rsidRPr="003E1D4A" w:rsidTr="00037CA2">
        <w:trPr>
          <w:trHeight w:val="132"/>
        </w:trPr>
        <w:tc>
          <w:tcPr>
            <w:tcW w:w="8222" w:type="dxa"/>
            <w:hideMark/>
          </w:tcPr>
          <w:p w:rsidR="00DA6D58" w:rsidRPr="003E1D4A" w:rsidRDefault="00DA6D58" w:rsidP="003E1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List of employees and settled employees’ rights</w:t>
            </w:r>
            <w:r w:rsidR="00E346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</w:tc>
        <w:tc>
          <w:tcPr>
            <w:tcW w:w="1559" w:type="dxa"/>
            <w:hideMark/>
          </w:tcPr>
          <w:p w:rsidR="003E1D4A" w:rsidRPr="003E1D4A" w:rsidRDefault="003E1D4A" w:rsidP="003E1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1D4A" w:rsidRPr="003E1D4A" w:rsidTr="00037CA2">
        <w:trPr>
          <w:trHeight w:val="132"/>
        </w:trPr>
        <w:tc>
          <w:tcPr>
            <w:tcW w:w="8222" w:type="dxa"/>
            <w:hideMark/>
          </w:tcPr>
          <w:p w:rsidR="00DA6D58" w:rsidRPr="003E1D4A" w:rsidRDefault="00A67369" w:rsidP="003E1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 authent</w:t>
            </w:r>
            <w:r w:rsidR="00DA6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ication of taxat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ion agency regarding to completing</w:t>
            </w:r>
            <w:r w:rsidR="00DA6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taxation </w:t>
            </w:r>
            <w:r w:rsidR="00DA6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obligations;</w:t>
            </w:r>
          </w:p>
        </w:tc>
        <w:tc>
          <w:tcPr>
            <w:tcW w:w="1559" w:type="dxa"/>
            <w:hideMark/>
          </w:tcPr>
          <w:p w:rsidR="003E1D4A" w:rsidRPr="003E1D4A" w:rsidRDefault="003E1D4A" w:rsidP="003E1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1D4A" w:rsidRPr="003E1D4A" w:rsidTr="00037CA2">
        <w:trPr>
          <w:trHeight w:val="275"/>
        </w:trPr>
        <w:tc>
          <w:tcPr>
            <w:tcW w:w="8222" w:type="dxa"/>
            <w:hideMark/>
          </w:tcPr>
          <w:p w:rsidR="00DA6D58" w:rsidRPr="003E1D4A" w:rsidRDefault="00A67369" w:rsidP="003E1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The authenti</w:t>
            </w:r>
            <w:r w:rsidR="00DA6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cation of social insuranc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 agencies regarding to completing</w:t>
            </w:r>
            <w:r w:rsidR="00DA6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social insurance</w:t>
            </w:r>
            <w:r w:rsidR="00E346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obligation</w:t>
            </w:r>
            <w:r w:rsidR="00DA6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</w:tc>
        <w:tc>
          <w:tcPr>
            <w:tcW w:w="1559" w:type="dxa"/>
            <w:hideMark/>
          </w:tcPr>
          <w:p w:rsidR="003E1D4A" w:rsidRPr="003E1D4A" w:rsidRDefault="003E1D4A" w:rsidP="003E1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1D4A" w:rsidRPr="003E1D4A" w:rsidTr="00037CA2">
        <w:trPr>
          <w:trHeight w:val="289"/>
        </w:trPr>
        <w:tc>
          <w:tcPr>
            <w:tcW w:w="8222" w:type="dxa"/>
            <w:hideMark/>
          </w:tcPr>
          <w:p w:rsidR="00DA6D58" w:rsidRPr="003E1D4A" w:rsidRDefault="00A67369" w:rsidP="003E1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 authent</w:t>
            </w:r>
            <w:r w:rsidR="00DA6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ication of public security agency regarding to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A6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seal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cancellation</w:t>
            </w:r>
            <w:r w:rsidR="00DA6D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</w:tc>
        <w:tc>
          <w:tcPr>
            <w:tcW w:w="1559" w:type="dxa"/>
            <w:hideMark/>
          </w:tcPr>
          <w:p w:rsidR="003E1D4A" w:rsidRPr="003E1D4A" w:rsidRDefault="003E1D4A" w:rsidP="003E1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1D4A" w:rsidRPr="003E1D4A" w:rsidTr="00037CA2">
        <w:trPr>
          <w:trHeight w:val="275"/>
        </w:trPr>
        <w:tc>
          <w:tcPr>
            <w:tcW w:w="8222" w:type="dxa"/>
            <w:hideMark/>
          </w:tcPr>
          <w:p w:rsidR="00DA6D58" w:rsidRPr="003E1D4A" w:rsidRDefault="00E346A3" w:rsidP="003E1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Operation r</w:t>
            </w:r>
            <w:r w:rsidR="00D003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egistration certificate of the executive office;</w:t>
            </w:r>
          </w:p>
        </w:tc>
        <w:tc>
          <w:tcPr>
            <w:tcW w:w="1559" w:type="dxa"/>
            <w:hideMark/>
          </w:tcPr>
          <w:p w:rsidR="003E1D4A" w:rsidRPr="003E1D4A" w:rsidRDefault="003E1D4A" w:rsidP="003E1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1D4A" w:rsidRPr="003E1D4A" w:rsidTr="00037CA2">
        <w:trPr>
          <w:trHeight w:val="275"/>
        </w:trPr>
        <w:tc>
          <w:tcPr>
            <w:tcW w:w="8222" w:type="dxa"/>
            <w:hideMark/>
          </w:tcPr>
          <w:p w:rsidR="00D00349" w:rsidRPr="003E1D4A" w:rsidRDefault="00D00349" w:rsidP="003E1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Copy of investment registration certificate;</w:t>
            </w:r>
          </w:p>
        </w:tc>
        <w:tc>
          <w:tcPr>
            <w:tcW w:w="1559" w:type="dxa"/>
            <w:hideMark/>
          </w:tcPr>
          <w:p w:rsidR="003E1D4A" w:rsidRPr="003E1D4A" w:rsidRDefault="003E1D4A" w:rsidP="003E1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1D4A" w:rsidRPr="003E1D4A" w:rsidTr="00037CA2">
        <w:trPr>
          <w:trHeight w:val="275"/>
        </w:trPr>
        <w:tc>
          <w:tcPr>
            <w:tcW w:w="8222" w:type="dxa"/>
            <w:hideMark/>
          </w:tcPr>
          <w:p w:rsidR="00D00349" w:rsidRPr="003E1D4A" w:rsidRDefault="00D00349" w:rsidP="00D0034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Copy of </w:t>
            </w:r>
            <w:r w:rsidRPr="00351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Business Cooperation Contract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  <w:hideMark/>
          </w:tcPr>
          <w:p w:rsidR="003E1D4A" w:rsidRPr="003E1D4A" w:rsidRDefault="003E1D4A" w:rsidP="003E1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D00349" w:rsidRDefault="00D00349" w:rsidP="00F35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Number of dossier: 1</w:t>
      </w:r>
    </w:p>
    <w:p w:rsidR="00D00349" w:rsidRPr="00C25ACA" w:rsidRDefault="00D00349" w:rsidP="00C25A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25A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Requirement: </w:t>
      </w:r>
    </w:p>
    <w:p w:rsidR="00D00349" w:rsidRPr="00D00349" w:rsidRDefault="00D00349" w:rsidP="00C25A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0034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Legal basis:</w:t>
      </w:r>
    </w:p>
    <w:tbl>
      <w:tblPr>
        <w:tblStyle w:val="TableGrid"/>
        <w:tblW w:w="9813" w:type="dxa"/>
        <w:tblLook w:val="04A0"/>
      </w:tblPr>
      <w:tblGrid>
        <w:gridCol w:w="8230"/>
        <w:gridCol w:w="1583"/>
      </w:tblGrid>
      <w:tr w:rsidR="00D00349" w:rsidRPr="00351DDB" w:rsidTr="00037CA2">
        <w:trPr>
          <w:trHeight w:val="267"/>
        </w:trPr>
        <w:tc>
          <w:tcPr>
            <w:tcW w:w="8230" w:type="dxa"/>
            <w:hideMark/>
          </w:tcPr>
          <w:p w:rsidR="00D00349" w:rsidRPr="00351DDB" w:rsidRDefault="00D00349" w:rsidP="00574B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  <w:r w:rsidRPr="0012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Legal documents</w:t>
            </w:r>
          </w:p>
        </w:tc>
        <w:tc>
          <w:tcPr>
            <w:tcW w:w="1583" w:type="dxa"/>
            <w:hideMark/>
          </w:tcPr>
          <w:p w:rsidR="00D00349" w:rsidRPr="00351DDB" w:rsidRDefault="00D00349" w:rsidP="00574B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  <w:r w:rsidRPr="0012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Attachment</w:t>
            </w:r>
          </w:p>
        </w:tc>
      </w:tr>
      <w:tr w:rsidR="00D00349" w:rsidRPr="00351DDB" w:rsidTr="00037CA2">
        <w:trPr>
          <w:trHeight w:val="267"/>
        </w:trPr>
        <w:tc>
          <w:tcPr>
            <w:tcW w:w="8230" w:type="dxa"/>
            <w:hideMark/>
          </w:tcPr>
          <w:p w:rsidR="00D00349" w:rsidRPr="00351DDB" w:rsidRDefault="00E346A3" w:rsidP="00D0034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Circular</w:t>
            </w:r>
            <w:r w:rsidR="00D00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No.16/2015/TT-BKHDT</w:t>
            </w:r>
            <w:r w:rsidR="00D00349" w:rsidRPr="00124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of </w:t>
            </w:r>
            <w:r w:rsidR="00D00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Ministry of Planning and Investment promulgated on November 18</w:t>
            </w:r>
            <w:r w:rsidR="00103D6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vertAlign w:val="superscript"/>
              </w:rPr>
              <w:t>th</w:t>
            </w:r>
            <w:r w:rsidR="00D00349" w:rsidRPr="00124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, 201</w:t>
            </w:r>
            <w:r w:rsidR="00D00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3" w:type="dxa"/>
            <w:hideMark/>
          </w:tcPr>
          <w:p w:rsidR="00D00349" w:rsidRPr="00351DDB" w:rsidRDefault="00D00349" w:rsidP="00574B68">
            <w:pPr>
              <w:rPr>
                <w:rFonts w:ascii="Times New Roman" w:eastAsia="Times New Roman" w:hAnsi="Times New Roman" w:cs="Times New Roman"/>
                <w:color w:val="081631"/>
                <w:sz w:val="26"/>
                <w:szCs w:val="26"/>
              </w:rPr>
            </w:pPr>
          </w:p>
        </w:tc>
      </w:tr>
      <w:tr w:rsidR="00D00349" w:rsidRPr="00351DDB" w:rsidTr="00037CA2">
        <w:trPr>
          <w:trHeight w:val="267"/>
        </w:trPr>
        <w:tc>
          <w:tcPr>
            <w:tcW w:w="8230" w:type="dxa"/>
            <w:hideMark/>
          </w:tcPr>
          <w:p w:rsidR="00D00349" w:rsidRPr="00351DDB" w:rsidRDefault="00D00349" w:rsidP="00574B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Law No.67/2014/QH13 of the National Assembly promulgated on November </w:t>
            </w:r>
            <w:r w:rsidRPr="00124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6</w:t>
            </w:r>
            <w:r w:rsidR="00103D6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vertAlign w:val="superscript"/>
              </w:rPr>
              <w:t>th</w:t>
            </w:r>
            <w:r w:rsidRPr="00124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, 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3" w:type="dxa"/>
            <w:hideMark/>
          </w:tcPr>
          <w:p w:rsidR="00D00349" w:rsidRPr="00351DDB" w:rsidRDefault="00D00349" w:rsidP="00574B68">
            <w:pPr>
              <w:rPr>
                <w:rFonts w:ascii="Times New Roman" w:eastAsia="Times New Roman" w:hAnsi="Times New Roman" w:cs="Times New Roman"/>
                <w:color w:val="081631"/>
                <w:sz w:val="26"/>
                <w:szCs w:val="26"/>
              </w:rPr>
            </w:pPr>
          </w:p>
        </w:tc>
      </w:tr>
    </w:tbl>
    <w:p w:rsidR="00D00349" w:rsidRPr="00D00349" w:rsidRDefault="00D00349" w:rsidP="00D00349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E1D4A" w:rsidRPr="00F35049" w:rsidRDefault="003E1D4A" w:rsidP="003E1D4A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E1D4A" w:rsidRPr="00F35049" w:rsidSect="00476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3E83"/>
    <w:multiLevelType w:val="hybridMultilevel"/>
    <w:tmpl w:val="372C06C2"/>
    <w:lvl w:ilvl="0" w:tplc="9312B4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C253D"/>
    <w:multiLevelType w:val="hybridMultilevel"/>
    <w:tmpl w:val="9B28D82A"/>
    <w:lvl w:ilvl="0" w:tplc="D09C9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F485B"/>
    <w:multiLevelType w:val="hybridMultilevel"/>
    <w:tmpl w:val="39E213CE"/>
    <w:lvl w:ilvl="0" w:tplc="12746B46">
      <w:start w:val="1"/>
      <w:numFmt w:val="upperRoman"/>
      <w:lvlText w:val="%1."/>
      <w:lvlJc w:val="left"/>
      <w:pPr>
        <w:ind w:left="4548" w:hanging="72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1D4A"/>
    <w:rsid w:val="00037CA2"/>
    <w:rsid w:val="00103D60"/>
    <w:rsid w:val="00316B50"/>
    <w:rsid w:val="003E1D4A"/>
    <w:rsid w:val="004765A0"/>
    <w:rsid w:val="005E0396"/>
    <w:rsid w:val="00645EFC"/>
    <w:rsid w:val="00666B54"/>
    <w:rsid w:val="009536E0"/>
    <w:rsid w:val="00A32259"/>
    <w:rsid w:val="00A67369"/>
    <w:rsid w:val="00B20371"/>
    <w:rsid w:val="00C25ACA"/>
    <w:rsid w:val="00CA7CC0"/>
    <w:rsid w:val="00D00349"/>
    <w:rsid w:val="00D572F0"/>
    <w:rsid w:val="00D95686"/>
    <w:rsid w:val="00DA6D58"/>
    <w:rsid w:val="00E346A3"/>
    <w:rsid w:val="00F3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D4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1D4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E1D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1D4A"/>
    <w:rPr>
      <w:i/>
      <w:iCs/>
    </w:rPr>
  </w:style>
  <w:style w:type="paragraph" w:customStyle="1" w:styleId="f-orange">
    <w:name w:val="f-orange"/>
    <w:basedOn w:val="Normal"/>
    <w:rsid w:val="003E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37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ntnngoc</dc:creator>
  <cp:lastModifiedBy>ntnngoc</cp:lastModifiedBy>
  <cp:revision>9</cp:revision>
  <dcterms:created xsi:type="dcterms:W3CDTF">2019-06-13T02:07:00Z</dcterms:created>
  <dcterms:modified xsi:type="dcterms:W3CDTF">2019-06-13T06:39:00Z</dcterms:modified>
</cp:coreProperties>
</file>