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E74" w:rsidRPr="000D76AB" w:rsidRDefault="00AB4E74" w:rsidP="001B66AA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D76AB">
        <w:rPr>
          <w:rFonts w:ascii="Times New Roman" w:hAnsi="Times New Roman" w:cs="Times New Roman"/>
          <w:b/>
          <w:color w:val="000000"/>
          <w:sz w:val="26"/>
          <w:szCs w:val="26"/>
        </w:rPr>
        <w:t>Request for changing</w:t>
      </w:r>
      <w:r w:rsidR="00904FA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09432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investment </w:t>
      </w:r>
      <w:r w:rsidR="00904FA5">
        <w:rPr>
          <w:rFonts w:ascii="Times New Roman" w:hAnsi="Times New Roman" w:cs="Times New Roman"/>
          <w:b/>
          <w:color w:val="000000"/>
          <w:sz w:val="26"/>
          <w:szCs w:val="26"/>
        </w:rPr>
        <w:t>project’s name</w:t>
      </w:r>
      <w:r w:rsidRPr="000D76AB">
        <w:rPr>
          <w:rFonts w:ascii="Times New Roman" w:hAnsi="Times New Roman" w:cs="Times New Roman"/>
          <w:b/>
          <w:color w:val="000000"/>
          <w:sz w:val="26"/>
          <w:szCs w:val="26"/>
        </w:rPr>
        <w:t>, investor’s name and address on</w:t>
      </w:r>
      <w:r w:rsidR="00904FA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the</w:t>
      </w:r>
      <w:r w:rsidRPr="000D76A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Investment Registration Certificate</w:t>
      </w:r>
    </w:p>
    <w:p w:rsidR="00AB4E74" w:rsidRPr="000D76AB" w:rsidRDefault="00AB4E74" w:rsidP="00AB4E74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</w:pPr>
      <w:r w:rsidRPr="000D76A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>Information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6"/>
        <w:gridCol w:w="6374"/>
      </w:tblGrid>
      <w:tr w:rsidR="00AB4E74" w:rsidRPr="000D76AB" w:rsidTr="00CC369B">
        <w:trPr>
          <w:trHeight w:val="614"/>
        </w:trPr>
        <w:tc>
          <w:tcPr>
            <w:tcW w:w="168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E74" w:rsidRPr="000D76AB" w:rsidRDefault="00AB4E74" w:rsidP="00CC3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D76A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bdr w:val="none" w:sz="0" w:space="0" w:color="auto" w:frame="1"/>
              </w:rPr>
              <w:t>Field:</w:t>
            </w:r>
          </w:p>
        </w:tc>
        <w:tc>
          <w:tcPr>
            <w:tcW w:w="33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E74" w:rsidRPr="000D76AB" w:rsidRDefault="00AB4E74" w:rsidP="00CC3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76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Investment</w:t>
            </w:r>
          </w:p>
        </w:tc>
      </w:tr>
      <w:tr w:rsidR="00AB4E74" w:rsidRPr="000D76AB" w:rsidTr="00CC369B">
        <w:trPr>
          <w:trHeight w:val="617"/>
        </w:trPr>
        <w:tc>
          <w:tcPr>
            <w:tcW w:w="168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E74" w:rsidRPr="000D76AB" w:rsidRDefault="00AB4E74" w:rsidP="00CC3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bdr w:val="none" w:sz="0" w:space="0" w:color="auto" w:frame="1"/>
              </w:rPr>
            </w:pPr>
            <w:r w:rsidRPr="000D76A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bdr w:val="none" w:sz="0" w:space="0" w:color="auto" w:frame="1"/>
              </w:rPr>
              <w:t>Agency in charge:</w:t>
            </w:r>
          </w:p>
          <w:p w:rsidR="00AB4E74" w:rsidRPr="000D76AB" w:rsidRDefault="00AB4E74" w:rsidP="00CC3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3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E74" w:rsidRPr="000D76AB" w:rsidRDefault="00AB4E74" w:rsidP="00CC3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76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Thua Thien Hue Management Board of Economic and Industrial Zone</w:t>
            </w:r>
          </w:p>
        </w:tc>
      </w:tr>
      <w:tr w:rsidR="00AB4E74" w:rsidRPr="000D76AB" w:rsidTr="00CC369B">
        <w:trPr>
          <w:trHeight w:val="617"/>
        </w:trPr>
        <w:tc>
          <w:tcPr>
            <w:tcW w:w="168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E74" w:rsidRPr="000D76AB" w:rsidRDefault="00AB4E74" w:rsidP="00CC3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0D76A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Receiving unit</w:t>
            </w:r>
            <w:r w:rsidRPr="000D76A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:</w:t>
            </w:r>
          </w:p>
        </w:tc>
        <w:tc>
          <w:tcPr>
            <w:tcW w:w="33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E74" w:rsidRPr="000D76AB" w:rsidRDefault="00AB4E74" w:rsidP="00CC3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76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Public Administration Service Center of Thua Thien Hue Province, 01 L</w:t>
            </w:r>
            <w:r w:rsidRPr="000D76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e</w:t>
            </w:r>
            <w:r w:rsidRPr="000D76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Lai street - Hue city (Tel: </w:t>
            </w:r>
            <w:r w:rsidRPr="000D76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+84 </w:t>
            </w:r>
            <w:r w:rsidRPr="000D76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234</w:t>
            </w:r>
            <w:r w:rsidRPr="000D76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0D76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385</w:t>
            </w:r>
            <w:r w:rsidRPr="000D76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0D76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6868)</w:t>
            </w:r>
          </w:p>
        </w:tc>
      </w:tr>
      <w:tr w:rsidR="00AB4E74" w:rsidRPr="000D76AB" w:rsidTr="00CC369B">
        <w:trPr>
          <w:trHeight w:val="309"/>
        </w:trPr>
        <w:tc>
          <w:tcPr>
            <w:tcW w:w="168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E74" w:rsidRPr="000D76AB" w:rsidRDefault="00AB4E74" w:rsidP="00CC3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0D76A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Receiving time:</w:t>
            </w:r>
          </w:p>
        </w:tc>
        <w:tc>
          <w:tcPr>
            <w:tcW w:w="33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E74" w:rsidRPr="000D76AB" w:rsidRDefault="00AB4E74" w:rsidP="00CC3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76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From Monday to Saturday (except for holidays as regulated)</w:t>
            </w:r>
          </w:p>
        </w:tc>
      </w:tr>
      <w:tr w:rsidR="00AB4E74" w:rsidRPr="000D76AB" w:rsidTr="00AB4E74">
        <w:trPr>
          <w:trHeight w:val="309"/>
        </w:trPr>
        <w:tc>
          <w:tcPr>
            <w:tcW w:w="1680" w:type="pct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E74" w:rsidRPr="000D76AB" w:rsidRDefault="00AB4E74" w:rsidP="00CC3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0D76A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Processing time:</w:t>
            </w:r>
          </w:p>
        </w:tc>
        <w:tc>
          <w:tcPr>
            <w:tcW w:w="3320" w:type="pct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E74" w:rsidRPr="000D76AB" w:rsidRDefault="00AB4E74" w:rsidP="00CC3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7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Three days</w:t>
            </w:r>
          </w:p>
        </w:tc>
      </w:tr>
      <w:tr w:rsidR="00AB4E74" w:rsidRPr="000D76AB" w:rsidTr="00CC369B">
        <w:trPr>
          <w:trHeight w:val="309"/>
        </w:trPr>
        <w:tc>
          <w:tcPr>
            <w:tcW w:w="168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4E74" w:rsidRPr="000D76AB" w:rsidRDefault="00AB4E74" w:rsidP="00CC3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D76A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Fee:</w:t>
            </w:r>
          </w:p>
        </w:tc>
        <w:tc>
          <w:tcPr>
            <w:tcW w:w="33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4E74" w:rsidRPr="000D76AB" w:rsidRDefault="00AB4E74" w:rsidP="00CC3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</w:tr>
    </w:tbl>
    <w:p w:rsidR="00AB4E74" w:rsidRPr="000D76AB" w:rsidRDefault="00AB4E74" w:rsidP="000D76AB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D76AB">
        <w:rPr>
          <w:rFonts w:ascii="Times New Roman" w:hAnsi="Times New Roman" w:cs="Times New Roman"/>
          <w:b/>
          <w:color w:val="000000"/>
          <w:sz w:val="26"/>
          <w:szCs w:val="26"/>
        </w:rPr>
        <w:t>Procedure:</w:t>
      </w:r>
    </w:p>
    <w:p w:rsidR="00AB4E74" w:rsidRPr="000D76AB" w:rsidRDefault="00AB4E74" w:rsidP="000D76AB">
      <w:pPr>
        <w:pStyle w:val="ListParagraph"/>
        <w:numPr>
          <w:ilvl w:val="0"/>
          <w:numId w:val="3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0D76AB">
        <w:rPr>
          <w:rFonts w:ascii="Times New Roman" w:hAnsi="Times New Roman" w:cs="Times New Roman"/>
          <w:b/>
          <w:i/>
          <w:color w:val="000000"/>
          <w:sz w:val="26"/>
          <w:szCs w:val="26"/>
        </w:rPr>
        <w:t>Step 1</w:t>
      </w:r>
      <w:r w:rsidRPr="000D76AB">
        <w:rPr>
          <w:rFonts w:ascii="Times New Roman" w:hAnsi="Times New Roman" w:cs="Times New Roman"/>
          <w:color w:val="000000"/>
          <w:sz w:val="26"/>
          <w:szCs w:val="26"/>
        </w:rPr>
        <w:t xml:space="preserve">: Investors submit the dossier and relevant documents at Division of </w:t>
      </w:r>
      <w:r w:rsidRPr="000D76AB">
        <w:rPr>
          <w:rFonts w:ascii="Times New Roman" w:hAnsi="Times New Roman" w:cs="Times New Roman"/>
          <w:color w:val="000000"/>
          <w:sz w:val="26"/>
          <w:szCs w:val="26"/>
          <w:lang w:val="vi-VN"/>
        </w:rPr>
        <w:t>R</w:t>
      </w:r>
      <w:r w:rsidRPr="000D76AB">
        <w:rPr>
          <w:rFonts w:ascii="Times New Roman" w:hAnsi="Times New Roman" w:cs="Times New Roman"/>
          <w:color w:val="000000"/>
          <w:sz w:val="26"/>
          <w:szCs w:val="26"/>
        </w:rPr>
        <w:t xml:space="preserve">eceiving </w:t>
      </w:r>
      <w:r w:rsidRPr="000D76AB">
        <w:rPr>
          <w:rFonts w:ascii="Times New Roman" w:hAnsi="Times New Roman" w:cs="Times New Roman"/>
          <w:color w:val="000000"/>
          <w:sz w:val="26"/>
          <w:szCs w:val="26"/>
          <w:lang w:val="vi-VN"/>
        </w:rPr>
        <w:t>D</w:t>
      </w:r>
      <w:r w:rsidRPr="000D76AB">
        <w:rPr>
          <w:rFonts w:ascii="Times New Roman" w:hAnsi="Times New Roman" w:cs="Times New Roman"/>
          <w:color w:val="000000"/>
          <w:sz w:val="26"/>
          <w:szCs w:val="26"/>
        </w:rPr>
        <w:t xml:space="preserve">ossiers and </w:t>
      </w:r>
      <w:r w:rsidRPr="000D76AB">
        <w:rPr>
          <w:rFonts w:ascii="Times New Roman" w:hAnsi="Times New Roman" w:cs="Times New Roman"/>
          <w:color w:val="000000"/>
          <w:sz w:val="26"/>
          <w:szCs w:val="26"/>
          <w:lang w:val="vi-VN"/>
        </w:rPr>
        <w:t>G</w:t>
      </w:r>
      <w:r w:rsidRPr="000D76AB">
        <w:rPr>
          <w:rFonts w:ascii="Times New Roman" w:hAnsi="Times New Roman" w:cs="Times New Roman"/>
          <w:color w:val="000000"/>
          <w:sz w:val="26"/>
          <w:szCs w:val="26"/>
        </w:rPr>
        <w:t xml:space="preserve">iving </w:t>
      </w:r>
      <w:r w:rsidRPr="000D76AB">
        <w:rPr>
          <w:rFonts w:ascii="Times New Roman" w:hAnsi="Times New Roman" w:cs="Times New Roman"/>
          <w:color w:val="000000"/>
          <w:sz w:val="26"/>
          <w:szCs w:val="26"/>
          <w:lang w:val="vi-VN"/>
        </w:rPr>
        <w:t>R</w:t>
      </w:r>
      <w:r w:rsidRPr="000D76AB">
        <w:rPr>
          <w:rFonts w:ascii="Times New Roman" w:hAnsi="Times New Roman" w:cs="Times New Roman"/>
          <w:color w:val="000000"/>
          <w:sz w:val="26"/>
          <w:szCs w:val="26"/>
        </w:rPr>
        <w:t>esult of Thua Thien Hue Management Board of Economic and Industrial Zone (Add: 37 Nguyen Hue, Hue city, Thua Thien Hue province).</w:t>
      </w:r>
      <w:r w:rsidRPr="000D76AB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Kindly submit dossier and receive result from</w:t>
      </w:r>
      <w:r w:rsidRPr="000D76AB">
        <w:rPr>
          <w:rFonts w:ascii="Times New Roman" w:hAnsi="Times New Roman" w:cs="Times New Roman"/>
          <w:color w:val="000000"/>
          <w:sz w:val="26"/>
          <w:szCs w:val="26"/>
        </w:rPr>
        <w:t xml:space="preserve"> 7:30 am - 11:00 am; 2:00 pm - 4:30 pm Monday to Friday (except for holiday and Tet).</w:t>
      </w:r>
    </w:p>
    <w:p w:rsidR="00AB4E74" w:rsidRPr="000D76AB" w:rsidRDefault="00A65DC9" w:rsidP="000D76AB">
      <w:pPr>
        <w:pStyle w:val="NormalWeb"/>
        <w:numPr>
          <w:ilvl w:val="0"/>
          <w:numId w:val="3"/>
        </w:numPr>
        <w:shd w:val="clear" w:color="auto" w:fill="FFFFFF"/>
        <w:tabs>
          <w:tab w:val="left" w:pos="142"/>
        </w:tabs>
        <w:spacing w:before="0" w:after="0" w:afterAutospacing="0" w:line="276" w:lineRule="auto"/>
        <w:ind w:left="0" w:firstLine="0"/>
        <w:jc w:val="both"/>
        <w:rPr>
          <w:color w:val="000000" w:themeColor="text1"/>
          <w:sz w:val="26"/>
          <w:szCs w:val="26"/>
        </w:rPr>
      </w:pPr>
      <w:r w:rsidRPr="000D76AB">
        <w:rPr>
          <w:rStyle w:val="Emphasis"/>
          <w:b/>
          <w:bCs/>
          <w:color w:val="000000" w:themeColor="text1"/>
          <w:sz w:val="26"/>
          <w:szCs w:val="26"/>
          <w:bdr w:val="none" w:sz="0" w:space="0" w:color="auto" w:frame="1"/>
        </w:rPr>
        <w:t>Step 2:</w:t>
      </w:r>
      <w:r w:rsidRPr="000D76AB">
        <w:rPr>
          <w:color w:val="000000" w:themeColor="text1"/>
          <w:sz w:val="26"/>
          <w:szCs w:val="26"/>
        </w:rPr>
        <w:t xml:space="preserve"> The officer in charge check</w:t>
      </w:r>
      <w:r w:rsidR="008559E1">
        <w:rPr>
          <w:color w:val="000000" w:themeColor="text1"/>
          <w:sz w:val="26"/>
          <w:szCs w:val="26"/>
        </w:rPr>
        <w:t>s</w:t>
      </w:r>
      <w:r w:rsidRPr="000D76AB">
        <w:rPr>
          <w:color w:val="000000" w:themeColor="text1"/>
          <w:sz w:val="26"/>
          <w:szCs w:val="26"/>
        </w:rPr>
        <w:t xml:space="preserve"> the dossier and advise</w:t>
      </w:r>
      <w:r w:rsidR="008559E1">
        <w:rPr>
          <w:color w:val="000000" w:themeColor="text1"/>
          <w:sz w:val="26"/>
          <w:szCs w:val="26"/>
        </w:rPr>
        <w:t>s</w:t>
      </w:r>
      <w:r w:rsidR="00400A54">
        <w:rPr>
          <w:color w:val="000000" w:themeColor="text1"/>
          <w:sz w:val="26"/>
          <w:szCs w:val="26"/>
        </w:rPr>
        <w:t xml:space="preserve"> the applicant to prepare</w:t>
      </w:r>
      <w:r w:rsidRPr="000D76AB">
        <w:rPr>
          <w:color w:val="000000" w:themeColor="text1"/>
          <w:sz w:val="26"/>
          <w:szCs w:val="26"/>
        </w:rPr>
        <w:t xml:space="preserve"> the dossier as regulated. In case the dossier is valid, the officer in charge receives the dossier, note</w:t>
      </w:r>
      <w:r w:rsidR="008559E1">
        <w:rPr>
          <w:color w:val="000000" w:themeColor="text1"/>
          <w:sz w:val="26"/>
          <w:szCs w:val="26"/>
        </w:rPr>
        <w:t>s</w:t>
      </w:r>
      <w:r w:rsidRPr="000D76AB">
        <w:rPr>
          <w:color w:val="000000" w:themeColor="text1"/>
          <w:sz w:val="26"/>
          <w:szCs w:val="26"/>
        </w:rPr>
        <w:t xml:space="preserve"> down dossier information and </w:t>
      </w:r>
      <w:r w:rsidR="008559E1">
        <w:rPr>
          <w:color w:val="000000" w:themeColor="text1"/>
          <w:sz w:val="26"/>
          <w:szCs w:val="26"/>
        </w:rPr>
        <w:t xml:space="preserve">makes an appointment with the </w:t>
      </w:r>
      <w:r w:rsidRPr="000D76AB">
        <w:rPr>
          <w:color w:val="000000" w:themeColor="text1"/>
          <w:sz w:val="26"/>
          <w:szCs w:val="26"/>
        </w:rPr>
        <w:t>applicant.</w:t>
      </w:r>
    </w:p>
    <w:p w:rsidR="00A65DC9" w:rsidRPr="000D76AB" w:rsidRDefault="00AB4E74" w:rsidP="00A65DC9">
      <w:pPr>
        <w:pStyle w:val="NormalWeb"/>
        <w:numPr>
          <w:ilvl w:val="0"/>
          <w:numId w:val="3"/>
        </w:numPr>
        <w:shd w:val="clear" w:color="auto" w:fill="FFFFFF"/>
        <w:tabs>
          <w:tab w:val="left" w:pos="142"/>
        </w:tabs>
        <w:spacing w:before="0" w:after="0" w:line="276" w:lineRule="auto"/>
        <w:ind w:left="0" w:firstLine="0"/>
        <w:jc w:val="both"/>
        <w:rPr>
          <w:rStyle w:val="Emphasis"/>
          <w:i w:val="0"/>
          <w:iCs w:val="0"/>
          <w:color w:val="000000"/>
          <w:sz w:val="26"/>
          <w:szCs w:val="26"/>
          <w:lang w:val="vi-VN"/>
        </w:rPr>
      </w:pPr>
      <w:r w:rsidRPr="000D76AB">
        <w:rPr>
          <w:rStyle w:val="Emphasis"/>
          <w:b/>
          <w:bCs/>
          <w:color w:val="000000"/>
          <w:sz w:val="26"/>
          <w:szCs w:val="26"/>
          <w:bdr w:val="nil"/>
        </w:rPr>
        <w:t xml:space="preserve">Step 3: </w:t>
      </w:r>
      <w:r w:rsidRPr="000D76AB">
        <w:rPr>
          <w:rStyle w:val="Emphasis"/>
          <w:bCs/>
          <w:i w:val="0"/>
          <w:color w:val="000000"/>
          <w:sz w:val="26"/>
          <w:szCs w:val="26"/>
          <w:bdr w:val="nil"/>
        </w:rPr>
        <w:t>Wi</w:t>
      </w:r>
      <w:r w:rsidR="008559E1">
        <w:rPr>
          <w:rStyle w:val="Emphasis"/>
          <w:bCs/>
          <w:i w:val="0"/>
          <w:color w:val="000000"/>
          <w:sz w:val="26"/>
          <w:szCs w:val="26"/>
          <w:bdr w:val="nil"/>
        </w:rPr>
        <w:t xml:space="preserve">thin 03 days since the </w:t>
      </w:r>
      <w:r w:rsidR="004C0D00" w:rsidRPr="000D76AB">
        <w:rPr>
          <w:rStyle w:val="Emphasis"/>
          <w:bCs/>
          <w:i w:val="0"/>
          <w:color w:val="000000"/>
          <w:sz w:val="26"/>
          <w:szCs w:val="26"/>
          <w:bdr w:val="nil"/>
        </w:rPr>
        <w:t>valid</w:t>
      </w:r>
      <w:r w:rsidRPr="000D76AB">
        <w:rPr>
          <w:rStyle w:val="Emphasis"/>
          <w:bCs/>
          <w:i w:val="0"/>
          <w:color w:val="000000"/>
          <w:sz w:val="26"/>
          <w:szCs w:val="26"/>
          <w:bdr w:val="nil"/>
        </w:rPr>
        <w:t xml:space="preserve"> dossier</w:t>
      </w:r>
      <w:r w:rsidR="008559E1">
        <w:rPr>
          <w:rStyle w:val="Emphasis"/>
          <w:bCs/>
          <w:i w:val="0"/>
          <w:color w:val="000000"/>
          <w:sz w:val="26"/>
          <w:szCs w:val="26"/>
          <w:bdr w:val="nil"/>
        </w:rPr>
        <w:t xml:space="preserve"> is submitted</w:t>
      </w:r>
      <w:r w:rsidRPr="000D76AB">
        <w:rPr>
          <w:rStyle w:val="Emphasis"/>
          <w:bCs/>
          <w:i w:val="0"/>
          <w:color w:val="000000"/>
          <w:sz w:val="26"/>
          <w:szCs w:val="26"/>
          <w:bdr w:val="nil"/>
        </w:rPr>
        <w:t xml:space="preserve">, </w:t>
      </w:r>
      <w:r w:rsidR="004C0D00" w:rsidRPr="000D76AB">
        <w:rPr>
          <w:rStyle w:val="Emphasis"/>
          <w:bCs/>
          <w:i w:val="0"/>
          <w:color w:val="000000"/>
          <w:sz w:val="26"/>
          <w:szCs w:val="26"/>
          <w:bdr w:val="nil"/>
        </w:rPr>
        <w:t xml:space="preserve">the </w:t>
      </w:r>
      <w:r w:rsidR="008559E1">
        <w:rPr>
          <w:rStyle w:val="Emphasis"/>
          <w:bCs/>
          <w:i w:val="0"/>
          <w:color w:val="000000"/>
          <w:sz w:val="26"/>
          <w:szCs w:val="26"/>
          <w:bdr w:val="nil"/>
        </w:rPr>
        <w:t>division in charge hands</w:t>
      </w:r>
      <w:r w:rsidR="00A65DC9" w:rsidRPr="000D76AB">
        <w:rPr>
          <w:rStyle w:val="Emphasis"/>
          <w:bCs/>
          <w:i w:val="0"/>
          <w:color w:val="000000"/>
          <w:sz w:val="26"/>
          <w:szCs w:val="26"/>
          <w:bdr w:val="nil"/>
        </w:rPr>
        <w:t xml:space="preserve"> over the </w:t>
      </w:r>
      <w:r w:rsidR="00A65DC9" w:rsidRPr="000D76AB">
        <w:rPr>
          <w:color w:val="000000"/>
          <w:sz w:val="26"/>
          <w:szCs w:val="26"/>
        </w:rPr>
        <w:t xml:space="preserve">Division of </w:t>
      </w:r>
      <w:r w:rsidR="00A65DC9" w:rsidRPr="000D76AB">
        <w:rPr>
          <w:color w:val="000000"/>
          <w:sz w:val="26"/>
          <w:szCs w:val="26"/>
          <w:lang w:val="vi-VN"/>
        </w:rPr>
        <w:t>R</w:t>
      </w:r>
      <w:r w:rsidR="00A65DC9" w:rsidRPr="000D76AB">
        <w:rPr>
          <w:color w:val="000000"/>
          <w:sz w:val="26"/>
          <w:szCs w:val="26"/>
        </w:rPr>
        <w:t xml:space="preserve">eceiving </w:t>
      </w:r>
      <w:r w:rsidR="00A65DC9" w:rsidRPr="000D76AB">
        <w:rPr>
          <w:color w:val="000000"/>
          <w:sz w:val="26"/>
          <w:szCs w:val="26"/>
          <w:lang w:val="vi-VN"/>
        </w:rPr>
        <w:t>D</w:t>
      </w:r>
      <w:r w:rsidR="00A65DC9" w:rsidRPr="000D76AB">
        <w:rPr>
          <w:color w:val="000000"/>
          <w:sz w:val="26"/>
          <w:szCs w:val="26"/>
        </w:rPr>
        <w:t xml:space="preserve">ossiers and </w:t>
      </w:r>
      <w:r w:rsidR="00A65DC9" w:rsidRPr="000D76AB">
        <w:rPr>
          <w:color w:val="000000"/>
          <w:sz w:val="26"/>
          <w:szCs w:val="26"/>
          <w:lang w:val="vi-VN"/>
        </w:rPr>
        <w:t>G</w:t>
      </w:r>
      <w:r w:rsidR="00A65DC9" w:rsidRPr="000D76AB">
        <w:rPr>
          <w:color w:val="000000"/>
          <w:sz w:val="26"/>
          <w:szCs w:val="26"/>
        </w:rPr>
        <w:t xml:space="preserve">iving </w:t>
      </w:r>
      <w:r w:rsidR="00A65DC9" w:rsidRPr="000D76AB">
        <w:rPr>
          <w:color w:val="000000"/>
          <w:sz w:val="26"/>
          <w:szCs w:val="26"/>
          <w:lang w:val="vi-VN"/>
        </w:rPr>
        <w:t>R</w:t>
      </w:r>
      <w:r w:rsidR="008559E1">
        <w:rPr>
          <w:color w:val="000000"/>
          <w:sz w:val="26"/>
          <w:szCs w:val="26"/>
        </w:rPr>
        <w:t>esult which</w:t>
      </w:r>
      <w:r w:rsidR="00A65DC9" w:rsidRPr="000D76AB">
        <w:rPr>
          <w:color w:val="000000"/>
          <w:sz w:val="26"/>
          <w:szCs w:val="26"/>
        </w:rPr>
        <w:t xml:space="preserve"> record</w:t>
      </w:r>
      <w:r w:rsidR="008559E1">
        <w:rPr>
          <w:color w:val="000000"/>
          <w:sz w:val="26"/>
          <w:szCs w:val="26"/>
        </w:rPr>
        <w:t>s and later</w:t>
      </w:r>
      <w:r w:rsidR="00A65DC9" w:rsidRPr="000D76AB">
        <w:rPr>
          <w:color w:val="000000"/>
          <w:sz w:val="26"/>
          <w:szCs w:val="26"/>
        </w:rPr>
        <w:t xml:space="preserve"> return</w:t>
      </w:r>
      <w:r w:rsidR="008559E1">
        <w:rPr>
          <w:color w:val="000000"/>
          <w:sz w:val="26"/>
          <w:szCs w:val="26"/>
        </w:rPr>
        <w:t>s the result to the applicant</w:t>
      </w:r>
      <w:r w:rsidR="00A65DC9" w:rsidRPr="000D76AB">
        <w:rPr>
          <w:color w:val="000000"/>
          <w:sz w:val="26"/>
          <w:szCs w:val="26"/>
        </w:rPr>
        <w:t>.</w:t>
      </w:r>
    </w:p>
    <w:p w:rsidR="00A65DC9" w:rsidRPr="000D76AB" w:rsidRDefault="00B20325" w:rsidP="00A65DC9">
      <w:pPr>
        <w:pStyle w:val="NormalWeb"/>
        <w:numPr>
          <w:ilvl w:val="0"/>
          <w:numId w:val="3"/>
        </w:numPr>
        <w:shd w:val="clear" w:color="auto" w:fill="FFFFFF"/>
        <w:tabs>
          <w:tab w:val="left" w:pos="142"/>
        </w:tabs>
        <w:spacing w:before="0" w:after="0" w:line="276" w:lineRule="auto"/>
        <w:ind w:left="0" w:firstLine="0"/>
        <w:jc w:val="both"/>
        <w:rPr>
          <w:rStyle w:val="Strong"/>
          <w:b w:val="0"/>
          <w:bCs w:val="0"/>
          <w:color w:val="000000"/>
          <w:sz w:val="26"/>
          <w:szCs w:val="26"/>
          <w:lang w:val="vi-VN"/>
        </w:rPr>
      </w:pPr>
      <w:r w:rsidRPr="000D76AB">
        <w:rPr>
          <w:rStyle w:val="Emphasis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A65DC9" w:rsidRPr="000D76AB">
        <w:rPr>
          <w:rStyle w:val="Strong"/>
          <w:color w:val="000000"/>
          <w:sz w:val="26"/>
          <w:szCs w:val="26"/>
          <w:bdr w:val="nil"/>
        </w:rPr>
        <w:t>Method of implementation:</w:t>
      </w:r>
    </w:p>
    <w:p w:rsidR="00A65DC9" w:rsidRPr="000D76AB" w:rsidRDefault="00A65DC9" w:rsidP="001814C1">
      <w:pPr>
        <w:pStyle w:val="NormalWeb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6"/>
          <w:szCs w:val="26"/>
          <w:bdr w:val="nil"/>
        </w:rPr>
      </w:pPr>
      <w:r w:rsidRPr="000D76AB">
        <w:rPr>
          <w:color w:val="000000"/>
          <w:sz w:val="26"/>
          <w:szCs w:val="26"/>
          <w:bdr w:val="nil"/>
        </w:rPr>
        <w:t>Organization</w:t>
      </w:r>
      <w:r w:rsidRPr="000D76AB">
        <w:rPr>
          <w:color w:val="000000"/>
          <w:sz w:val="26"/>
          <w:szCs w:val="26"/>
          <w:bdr w:val="nil"/>
          <w:lang w:val="vi-VN"/>
        </w:rPr>
        <w:t>s</w:t>
      </w:r>
      <w:r w:rsidRPr="000D76AB">
        <w:rPr>
          <w:color w:val="000000"/>
          <w:sz w:val="26"/>
          <w:szCs w:val="26"/>
          <w:bdr w:val="nil"/>
        </w:rPr>
        <w:t>/individual</w:t>
      </w:r>
      <w:r w:rsidRPr="000D76AB">
        <w:rPr>
          <w:color w:val="000000"/>
          <w:sz w:val="26"/>
          <w:szCs w:val="26"/>
          <w:bdr w:val="nil"/>
          <w:lang w:val="vi-VN"/>
        </w:rPr>
        <w:t>s</w:t>
      </w:r>
      <w:r w:rsidRPr="000D76AB">
        <w:rPr>
          <w:color w:val="000000"/>
          <w:sz w:val="26"/>
          <w:szCs w:val="26"/>
          <w:bdr w:val="nil"/>
        </w:rPr>
        <w:t xml:space="preserve"> directly submit and receive the dossier at </w:t>
      </w:r>
      <w:r w:rsidRPr="000D76AB">
        <w:rPr>
          <w:color w:val="000000"/>
          <w:sz w:val="26"/>
          <w:szCs w:val="26"/>
          <w:bdr w:val="nil"/>
          <w:lang w:val="vi-VN"/>
        </w:rPr>
        <w:t>D</w:t>
      </w:r>
      <w:r w:rsidRPr="000D76AB">
        <w:rPr>
          <w:color w:val="000000"/>
          <w:sz w:val="26"/>
          <w:szCs w:val="26"/>
          <w:bdr w:val="nil"/>
        </w:rPr>
        <w:t xml:space="preserve">ivision of </w:t>
      </w:r>
      <w:r w:rsidRPr="000D76AB">
        <w:rPr>
          <w:color w:val="000000"/>
          <w:sz w:val="26"/>
          <w:szCs w:val="26"/>
          <w:bdr w:val="nil"/>
          <w:lang w:val="vi-VN"/>
        </w:rPr>
        <w:t>R</w:t>
      </w:r>
      <w:r w:rsidRPr="000D76AB">
        <w:rPr>
          <w:color w:val="000000"/>
          <w:sz w:val="26"/>
          <w:szCs w:val="26"/>
          <w:bdr w:val="nil"/>
        </w:rPr>
        <w:t xml:space="preserve">eceiving </w:t>
      </w:r>
      <w:r w:rsidRPr="000D76AB">
        <w:rPr>
          <w:color w:val="000000"/>
          <w:sz w:val="26"/>
          <w:szCs w:val="26"/>
          <w:bdr w:val="nil"/>
          <w:lang w:val="vi-VN"/>
        </w:rPr>
        <w:t>D</w:t>
      </w:r>
      <w:r w:rsidRPr="000D76AB">
        <w:rPr>
          <w:color w:val="000000"/>
          <w:sz w:val="26"/>
          <w:szCs w:val="26"/>
          <w:bdr w:val="nil"/>
        </w:rPr>
        <w:t xml:space="preserve">ossiers and </w:t>
      </w:r>
      <w:r w:rsidRPr="000D76AB">
        <w:rPr>
          <w:color w:val="000000"/>
          <w:sz w:val="26"/>
          <w:szCs w:val="26"/>
          <w:bdr w:val="nil"/>
          <w:lang w:val="vi-VN"/>
        </w:rPr>
        <w:t>G</w:t>
      </w:r>
      <w:r w:rsidRPr="000D76AB">
        <w:rPr>
          <w:color w:val="000000"/>
          <w:sz w:val="26"/>
          <w:szCs w:val="26"/>
          <w:bdr w:val="nil"/>
        </w:rPr>
        <w:t xml:space="preserve">iving </w:t>
      </w:r>
      <w:r w:rsidRPr="000D76AB">
        <w:rPr>
          <w:color w:val="000000"/>
          <w:sz w:val="26"/>
          <w:szCs w:val="26"/>
          <w:bdr w:val="nil"/>
          <w:lang w:val="vi-VN"/>
        </w:rPr>
        <w:t>R</w:t>
      </w:r>
      <w:r w:rsidRPr="000D76AB">
        <w:rPr>
          <w:color w:val="000000"/>
          <w:sz w:val="26"/>
          <w:szCs w:val="26"/>
          <w:bdr w:val="nil"/>
        </w:rPr>
        <w:t xml:space="preserve">esults </w:t>
      </w:r>
      <w:r w:rsidRPr="000D76AB">
        <w:rPr>
          <w:color w:val="000000"/>
          <w:sz w:val="26"/>
          <w:szCs w:val="26"/>
          <w:bdr w:val="nil"/>
          <w:lang w:val="vi-VN"/>
        </w:rPr>
        <w:t xml:space="preserve">- </w:t>
      </w:r>
      <w:r w:rsidRPr="000D76AB">
        <w:rPr>
          <w:color w:val="000000"/>
          <w:sz w:val="26"/>
          <w:szCs w:val="26"/>
          <w:bdr w:val="nil"/>
        </w:rPr>
        <w:t>Thua Thien Hue Management Board of Economic and Industrial Zone. Submission by post is also accepted.</w:t>
      </w:r>
    </w:p>
    <w:p w:rsidR="00A65DC9" w:rsidRPr="000D76AB" w:rsidRDefault="00A65DC9" w:rsidP="001814C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b/>
          <w:color w:val="000000"/>
          <w:sz w:val="26"/>
          <w:szCs w:val="26"/>
        </w:rPr>
      </w:pPr>
      <w:r w:rsidRPr="000D76AB">
        <w:rPr>
          <w:b/>
          <w:color w:val="000000"/>
          <w:sz w:val="26"/>
          <w:szCs w:val="26"/>
        </w:rPr>
        <w:t>Dossier:</w:t>
      </w:r>
    </w:p>
    <w:tbl>
      <w:tblPr>
        <w:tblStyle w:val="TableGrid"/>
        <w:tblW w:w="0" w:type="auto"/>
        <w:tblInd w:w="108" w:type="dxa"/>
        <w:tblLook w:val="04A0"/>
      </w:tblPr>
      <w:tblGrid>
        <w:gridCol w:w="7230"/>
        <w:gridCol w:w="2126"/>
      </w:tblGrid>
      <w:tr w:rsidR="00A65DC9" w:rsidRPr="000D76AB" w:rsidTr="000D76AB">
        <w:tc>
          <w:tcPr>
            <w:tcW w:w="7230" w:type="dxa"/>
          </w:tcPr>
          <w:p w:rsidR="00A65DC9" w:rsidRPr="000D76AB" w:rsidRDefault="00A65DC9" w:rsidP="00CC369B">
            <w:pPr>
              <w:pStyle w:val="NormalWeb"/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0D76AB">
              <w:rPr>
                <w:b/>
                <w:color w:val="000000"/>
                <w:sz w:val="26"/>
                <w:szCs w:val="26"/>
              </w:rPr>
              <w:t>Name of document</w:t>
            </w:r>
          </w:p>
        </w:tc>
        <w:tc>
          <w:tcPr>
            <w:tcW w:w="2126" w:type="dxa"/>
          </w:tcPr>
          <w:p w:rsidR="00A65DC9" w:rsidRPr="000D76AB" w:rsidRDefault="00A65DC9" w:rsidP="00CC369B">
            <w:pPr>
              <w:pStyle w:val="NormalWeb"/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0D76AB">
              <w:rPr>
                <w:b/>
                <w:color w:val="000000"/>
                <w:sz w:val="26"/>
                <w:szCs w:val="26"/>
              </w:rPr>
              <w:t>Download</w:t>
            </w:r>
          </w:p>
        </w:tc>
      </w:tr>
      <w:tr w:rsidR="00A65DC9" w:rsidRPr="000D76AB" w:rsidTr="000D76AB">
        <w:tc>
          <w:tcPr>
            <w:tcW w:w="7230" w:type="dxa"/>
          </w:tcPr>
          <w:p w:rsidR="00A65DC9" w:rsidRPr="000D76AB" w:rsidRDefault="008559E1" w:rsidP="00CC369B">
            <w:pPr>
              <w:pStyle w:val="NormalWeb"/>
              <w:tabs>
                <w:tab w:val="left" w:pos="318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Writing request for modify</w:t>
            </w:r>
            <w:r w:rsidR="00A65DC9" w:rsidRPr="000D76AB">
              <w:rPr>
                <w:color w:val="000000"/>
                <w:sz w:val="26"/>
                <w:szCs w:val="26"/>
              </w:rPr>
              <w:t>ing the investment project;</w:t>
            </w:r>
          </w:p>
        </w:tc>
        <w:tc>
          <w:tcPr>
            <w:tcW w:w="2126" w:type="dxa"/>
          </w:tcPr>
          <w:p w:rsidR="00A65DC9" w:rsidRPr="000D76AB" w:rsidRDefault="00A65DC9" w:rsidP="00CC369B">
            <w:pPr>
              <w:pStyle w:val="NormalWeb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65DC9" w:rsidRPr="000D76AB" w:rsidTr="000D76AB">
        <w:tc>
          <w:tcPr>
            <w:tcW w:w="7230" w:type="dxa"/>
          </w:tcPr>
          <w:p w:rsidR="00A65DC9" w:rsidRPr="000D76AB" w:rsidRDefault="00A65DC9" w:rsidP="00CC369B">
            <w:pPr>
              <w:pStyle w:val="NormalWeb"/>
              <w:tabs>
                <w:tab w:val="left" w:pos="318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D76AB">
              <w:rPr>
                <w:color w:val="000000"/>
                <w:sz w:val="26"/>
                <w:szCs w:val="26"/>
              </w:rPr>
              <w:t xml:space="preserve">Documents related to changing the name and address of the </w:t>
            </w:r>
            <w:r w:rsidRPr="000D76AB">
              <w:rPr>
                <w:color w:val="000000"/>
                <w:sz w:val="26"/>
                <w:szCs w:val="26"/>
              </w:rPr>
              <w:lastRenderedPageBreak/>
              <w:t>investor or project name.</w:t>
            </w:r>
          </w:p>
        </w:tc>
        <w:tc>
          <w:tcPr>
            <w:tcW w:w="2126" w:type="dxa"/>
          </w:tcPr>
          <w:p w:rsidR="00A65DC9" w:rsidRPr="000D76AB" w:rsidRDefault="00A65DC9" w:rsidP="00CC369B">
            <w:pPr>
              <w:pStyle w:val="NormalWeb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A65DC9" w:rsidRPr="000D76AB" w:rsidRDefault="00A65DC9" w:rsidP="001814C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76AB">
        <w:rPr>
          <w:color w:val="000000"/>
          <w:sz w:val="26"/>
          <w:szCs w:val="26"/>
        </w:rPr>
        <w:lastRenderedPageBreak/>
        <w:t>Number of dossier: 1</w:t>
      </w:r>
    </w:p>
    <w:p w:rsidR="00A65DC9" w:rsidRPr="000D76AB" w:rsidRDefault="00A65DC9" w:rsidP="001B66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 w:themeColor="text1"/>
          <w:sz w:val="26"/>
          <w:szCs w:val="26"/>
        </w:rPr>
      </w:pPr>
      <w:r w:rsidRPr="000D76AB">
        <w:rPr>
          <w:b/>
          <w:color w:val="000000" w:themeColor="text1"/>
          <w:sz w:val="26"/>
          <w:szCs w:val="26"/>
        </w:rPr>
        <w:t xml:space="preserve">Requirement: </w:t>
      </w:r>
    </w:p>
    <w:p w:rsidR="00B20325" w:rsidRPr="000D76AB" w:rsidRDefault="00A65DC9" w:rsidP="001814C1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  <w:sz w:val="26"/>
          <w:szCs w:val="26"/>
        </w:rPr>
      </w:pPr>
      <w:r w:rsidRPr="000D76AB">
        <w:rPr>
          <w:color w:val="000000" w:themeColor="text1"/>
          <w:sz w:val="26"/>
          <w:szCs w:val="26"/>
        </w:rPr>
        <w:t>Valid dossier</w:t>
      </w:r>
    </w:p>
    <w:p w:rsidR="00A65DC9" w:rsidRPr="000D76AB" w:rsidRDefault="00A65DC9" w:rsidP="001B66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91"/>
        <w:jc w:val="both"/>
        <w:rPr>
          <w:color w:val="000000" w:themeColor="text1"/>
          <w:sz w:val="26"/>
          <w:szCs w:val="26"/>
        </w:rPr>
      </w:pPr>
      <w:r w:rsidRPr="000D76AB">
        <w:rPr>
          <w:b/>
          <w:color w:val="000000" w:themeColor="text1"/>
          <w:sz w:val="26"/>
          <w:szCs w:val="26"/>
        </w:rPr>
        <w:t xml:space="preserve">Legal basis </w:t>
      </w:r>
    </w:p>
    <w:tbl>
      <w:tblPr>
        <w:tblStyle w:val="TableGrid"/>
        <w:tblW w:w="0" w:type="auto"/>
        <w:tblInd w:w="108" w:type="dxa"/>
        <w:tblLook w:val="04A0"/>
      </w:tblPr>
      <w:tblGrid>
        <w:gridCol w:w="7230"/>
        <w:gridCol w:w="2126"/>
      </w:tblGrid>
      <w:tr w:rsidR="00A65DC9" w:rsidRPr="000D76AB" w:rsidTr="000D76AB">
        <w:tc>
          <w:tcPr>
            <w:tcW w:w="7230" w:type="dxa"/>
          </w:tcPr>
          <w:p w:rsidR="00A65DC9" w:rsidRPr="000D76AB" w:rsidRDefault="00A65DC9" w:rsidP="001814C1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0D76AB">
              <w:rPr>
                <w:b/>
                <w:color w:val="000000"/>
                <w:sz w:val="26"/>
                <w:szCs w:val="26"/>
              </w:rPr>
              <w:t>Legal documents</w:t>
            </w:r>
          </w:p>
        </w:tc>
        <w:tc>
          <w:tcPr>
            <w:tcW w:w="2126" w:type="dxa"/>
          </w:tcPr>
          <w:p w:rsidR="00A65DC9" w:rsidRPr="000D76AB" w:rsidRDefault="00A65DC9" w:rsidP="00CC369B">
            <w:pPr>
              <w:pStyle w:val="NormalWeb"/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0D76AB">
              <w:rPr>
                <w:b/>
                <w:color w:val="000000"/>
                <w:sz w:val="26"/>
                <w:szCs w:val="26"/>
              </w:rPr>
              <w:t>Attachment</w:t>
            </w:r>
          </w:p>
        </w:tc>
      </w:tr>
      <w:tr w:rsidR="00A65DC9" w:rsidRPr="000D76AB" w:rsidTr="000D76AB">
        <w:tc>
          <w:tcPr>
            <w:tcW w:w="7230" w:type="dxa"/>
          </w:tcPr>
          <w:p w:rsidR="00A65DC9" w:rsidRPr="000D76AB" w:rsidRDefault="00A65DC9" w:rsidP="00CC369B">
            <w:pPr>
              <w:pStyle w:val="NormalWeb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D76AB">
              <w:rPr>
                <w:color w:val="000000"/>
                <w:sz w:val="26"/>
                <w:szCs w:val="26"/>
              </w:rPr>
              <w:t>Law No. 67/2014/QH13 of the National Assembly promulgated on November 26, 2014</w:t>
            </w:r>
          </w:p>
        </w:tc>
        <w:tc>
          <w:tcPr>
            <w:tcW w:w="2126" w:type="dxa"/>
          </w:tcPr>
          <w:p w:rsidR="00A65DC9" w:rsidRPr="000D76AB" w:rsidRDefault="00A65DC9" w:rsidP="00CC369B">
            <w:pPr>
              <w:pStyle w:val="NormalWeb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65DC9" w:rsidRPr="000D76AB" w:rsidTr="000D76AB">
        <w:tc>
          <w:tcPr>
            <w:tcW w:w="7230" w:type="dxa"/>
          </w:tcPr>
          <w:p w:rsidR="00A65DC9" w:rsidRPr="000D76AB" w:rsidRDefault="00A65DC9" w:rsidP="00CC369B">
            <w:pPr>
              <w:pStyle w:val="NormalWeb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D76AB">
              <w:rPr>
                <w:color w:val="000000"/>
                <w:sz w:val="26"/>
                <w:szCs w:val="26"/>
              </w:rPr>
              <w:t>Resolution No. 118/2015/ND-CP of the Government promulgated on November 12, 2015</w:t>
            </w:r>
          </w:p>
        </w:tc>
        <w:tc>
          <w:tcPr>
            <w:tcW w:w="2126" w:type="dxa"/>
          </w:tcPr>
          <w:p w:rsidR="00A65DC9" w:rsidRPr="000D76AB" w:rsidRDefault="00A65DC9" w:rsidP="00CC369B">
            <w:pPr>
              <w:pStyle w:val="NormalWeb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65DC9" w:rsidRPr="000D76AB" w:rsidTr="000D76AB">
        <w:tc>
          <w:tcPr>
            <w:tcW w:w="7230" w:type="dxa"/>
          </w:tcPr>
          <w:p w:rsidR="00A65DC9" w:rsidRPr="000D76AB" w:rsidRDefault="00A65DC9" w:rsidP="00CC369B">
            <w:pPr>
              <w:pStyle w:val="NormalWeb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D76AB">
              <w:rPr>
                <w:color w:val="000000"/>
                <w:sz w:val="26"/>
                <w:szCs w:val="26"/>
              </w:rPr>
              <w:t>Decree No. 16/2015/TT-BKHDT of the Ministry of Planning and Investment promulgated on November 18, 2015</w:t>
            </w:r>
          </w:p>
        </w:tc>
        <w:tc>
          <w:tcPr>
            <w:tcW w:w="2126" w:type="dxa"/>
          </w:tcPr>
          <w:p w:rsidR="00A65DC9" w:rsidRPr="000D76AB" w:rsidRDefault="00A65DC9" w:rsidP="00CC369B">
            <w:pPr>
              <w:pStyle w:val="NormalWeb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B20325" w:rsidRPr="000D76AB" w:rsidRDefault="00B20325" w:rsidP="00B20325">
      <w:pPr>
        <w:pStyle w:val="NormalWeb"/>
        <w:shd w:val="clear" w:color="auto" w:fill="FFFFFF"/>
        <w:spacing w:before="0" w:after="0" w:line="276" w:lineRule="auto"/>
        <w:ind w:left="1080"/>
        <w:jc w:val="both"/>
        <w:rPr>
          <w:color w:val="000000" w:themeColor="text1"/>
          <w:sz w:val="26"/>
          <w:szCs w:val="26"/>
        </w:rPr>
      </w:pPr>
    </w:p>
    <w:p w:rsidR="00B20325" w:rsidRPr="000D76AB" w:rsidRDefault="00B20325" w:rsidP="00B20325">
      <w:pPr>
        <w:pStyle w:val="NormalWeb"/>
        <w:shd w:val="clear" w:color="auto" w:fill="FFFFFF"/>
        <w:spacing w:before="0" w:after="0" w:line="276" w:lineRule="auto"/>
        <w:ind w:left="1080"/>
        <w:jc w:val="both"/>
        <w:rPr>
          <w:color w:val="000000" w:themeColor="text1"/>
          <w:sz w:val="26"/>
          <w:szCs w:val="26"/>
        </w:rPr>
      </w:pPr>
    </w:p>
    <w:p w:rsidR="00B20325" w:rsidRPr="000D76AB" w:rsidRDefault="00B20325" w:rsidP="00B20325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B20325" w:rsidRPr="000D76AB" w:rsidSect="00476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23E83"/>
    <w:multiLevelType w:val="hybridMultilevel"/>
    <w:tmpl w:val="372C06C2"/>
    <w:lvl w:ilvl="0" w:tplc="9312B4C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568D2"/>
    <w:multiLevelType w:val="hybridMultilevel"/>
    <w:tmpl w:val="6F5233EC"/>
    <w:lvl w:ilvl="0" w:tplc="6936BE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D01E5"/>
    <w:multiLevelType w:val="hybridMultilevel"/>
    <w:tmpl w:val="331661B8"/>
    <w:lvl w:ilvl="0" w:tplc="68AAD402">
      <w:start w:val="1"/>
      <w:numFmt w:val="upperRoman"/>
      <w:lvlText w:val="%1."/>
      <w:lvlJc w:val="left"/>
      <w:pPr>
        <w:ind w:left="3839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0325"/>
    <w:rsid w:val="0009432D"/>
    <w:rsid w:val="000D76AB"/>
    <w:rsid w:val="001814C1"/>
    <w:rsid w:val="001B66AA"/>
    <w:rsid w:val="00316B50"/>
    <w:rsid w:val="00390F1C"/>
    <w:rsid w:val="003960A6"/>
    <w:rsid w:val="00400A54"/>
    <w:rsid w:val="00416062"/>
    <w:rsid w:val="004765A0"/>
    <w:rsid w:val="004C0D00"/>
    <w:rsid w:val="00645EFC"/>
    <w:rsid w:val="006F5487"/>
    <w:rsid w:val="00781BBB"/>
    <w:rsid w:val="0083094C"/>
    <w:rsid w:val="008559E1"/>
    <w:rsid w:val="00904FA5"/>
    <w:rsid w:val="00950CB2"/>
    <w:rsid w:val="00A32259"/>
    <w:rsid w:val="00A65DC9"/>
    <w:rsid w:val="00AB4E74"/>
    <w:rsid w:val="00B20325"/>
    <w:rsid w:val="00B20371"/>
    <w:rsid w:val="00CA7CC0"/>
    <w:rsid w:val="00D21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32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2032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2032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20325"/>
    <w:rPr>
      <w:i/>
      <w:iCs/>
    </w:rPr>
  </w:style>
  <w:style w:type="table" w:styleId="TableGrid">
    <w:name w:val="Table Grid"/>
    <w:basedOn w:val="TableNormal"/>
    <w:uiPriority w:val="59"/>
    <w:rsid w:val="00A65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3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ntnngoc</dc:creator>
  <cp:lastModifiedBy>ntnngoc</cp:lastModifiedBy>
  <cp:revision>12</cp:revision>
  <dcterms:created xsi:type="dcterms:W3CDTF">2019-06-19T01:51:00Z</dcterms:created>
  <dcterms:modified xsi:type="dcterms:W3CDTF">2019-06-19T06:54:00Z</dcterms:modified>
</cp:coreProperties>
</file>