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5D" w:rsidRPr="00873D11" w:rsidRDefault="001D0C5D" w:rsidP="001D0C5D">
      <w:pPr>
        <w:spacing w:after="240" w:line="276" w:lineRule="auto"/>
        <w:jc w:val="center"/>
        <w:rPr>
          <w:rFonts w:eastAsia="Times New Roman"/>
          <w:color w:val="000000" w:themeColor="text1"/>
          <w:sz w:val="26"/>
          <w:szCs w:val="26"/>
          <w:lang w:val="fr-FR"/>
        </w:rPr>
      </w:pPr>
      <w:proofErr w:type="spellStart"/>
      <w:r w:rsidRPr="00873D11">
        <w:rPr>
          <w:rFonts w:eastAsia="Times New Roman"/>
          <w:b/>
          <w:bCs/>
          <w:color w:val="000000" w:themeColor="text1"/>
          <w:sz w:val="26"/>
          <w:szCs w:val="26"/>
          <w:lang w:val="fr-FR"/>
        </w:rPr>
        <w:t>Redelivrance</w:t>
      </w:r>
      <w:proofErr w:type="spellEnd"/>
      <w:r w:rsidRPr="00873D11">
        <w:rPr>
          <w:rFonts w:eastAsia="Times New Roman"/>
          <w:b/>
          <w:bCs/>
          <w:color w:val="000000" w:themeColor="text1"/>
          <w:sz w:val="26"/>
          <w:szCs w:val="26"/>
          <w:lang w:val="fr-FR"/>
        </w:rPr>
        <w:t xml:space="preserve"> du certificat d’enregistrement d'investissement</w:t>
      </w:r>
    </w:p>
    <w:p w:rsidR="001D0C5D" w:rsidRPr="00873D11" w:rsidRDefault="001D0C5D" w:rsidP="001D0C5D">
      <w:pPr>
        <w:numPr>
          <w:ilvl w:val="0"/>
          <w:numId w:val="1"/>
        </w:numPr>
        <w:spacing w:before="240" w:after="240" w:line="276" w:lineRule="auto"/>
        <w:ind w:left="426" w:hanging="284"/>
        <w:rPr>
          <w:rFonts w:eastAsia="Times New Roman"/>
          <w:b/>
          <w:bCs/>
          <w:color w:val="000000" w:themeColor="text1"/>
          <w:sz w:val="26"/>
          <w:szCs w:val="26"/>
          <w:lang w:val="fr-FR"/>
        </w:rPr>
      </w:pPr>
      <w:r w:rsidRPr="00873D11">
        <w:rPr>
          <w:rFonts w:eastAsia="Times New Roman"/>
          <w:b/>
          <w:bCs/>
          <w:color w:val="000000" w:themeColor="text1"/>
          <w:sz w:val="26"/>
          <w:szCs w:val="26"/>
          <w:lang w:val="fr-FR"/>
        </w:rPr>
        <w:t>Informations: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5"/>
        <w:gridCol w:w="5678"/>
      </w:tblGrid>
      <w:tr w:rsidR="001D0C5D" w:rsidRPr="00873D11" w:rsidTr="00CF3CB7">
        <w:trPr>
          <w:trHeight w:val="364"/>
        </w:trPr>
        <w:tc>
          <w:tcPr>
            <w:tcW w:w="1871" w:type="pct"/>
          </w:tcPr>
          <w:p w:rsidR="001D0C5D" w:rsidRPr="00873D11" w:rsidRDefault="001D0C5D" w:rsidP="00CF3CB7">
            <w:pPr>
              <w:spacing w:line="276" w:lineRule="auto"/>
              <w:ind w:left="22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 w:rsidRPr="00873D11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Secteur:</w:t>
            </w:r>
          </w:p>
        </w:tc>
        <w:tc>
          <w:tcPr>
            <w:tcW w:w="3129" w:type="pct"/>
          </w:tcPr>
          <w:p w:rsidR="001D0C5D" w:rsidRPr="00873D11" w:rsidRDefault="001D0C5D" w:rsidP="00CF3CB7">
            <w:pPr>
              <w:spacing w:line="276" w:lineRule="auto"/>
              <w:ind w:left="10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 w:rsidRPr="00873D11"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Investissement</w:t>
            </w:r>
          </w:p>
        </w:tc>
      </w:tr>
      <w:tr w:rsidR="001D0C5D" w:rsidRPr="00873D11" w:rsidTr="00CF3CB7">
        <w:trPr>
          <w:trHeight w:val="709"/>
        </w:trPr>
        <w:tc>
          <w:tcPr>
            <w:tcW w:w="1871" w:type="pct"/>
          </w:tcPr>
          <w:p w:rsidR="001D0C5D" w:rsidRPr="00873D11" w:rsidRDefault="001D0C5D" w:rsidP="00CF3CB7">
            <w:pPr>
              <w:spacing w:line="276" w:lineRule="auto"/>
              <w:ind w:left="220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 w:rsidRPr="00873D11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Agence directe mettant en œuvre les formulaires administratifs:</w:t>
            </w:r>
          </w:p>
        </w:tc>
        <w:tc>
          <w:tcPr>
            <w:tcW w:w="3129" w:type="pct"/>
          </w:tcPr>
          <w:p w:rsidR="001D0C5D" w:rsidRPr="00873D11" w:rsidRDefault="001D0C5D" w:rsidP="00CF3CB7">
            <w:pPr>
              <w:spacing w:line="276" w:lineRule="auto"/>
              <w:ind w:left="10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 w:rsidRPr="00873D11"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Commission de gestion des Zones économiques, industrielles provinciales </w:t>
            </w:r>
          </w:p>
        </w:tc>
      </w:tr>
      <w:tr w:rsidR="001D0C5D" w:rsidRPr="00873D11" w:rsidTr="00CF3CB7">
        <w:trPr>
          <w:trHeight w:val="689"/>
        </w:trPr>
        <w:tc>
          <w:tcPr>
            <w:tcW w:w="1871" w:type="pct"/>
          </w:tcPr>
          <w:p w:rsidR="001D0C5D" w:rsidRPr="00873D11" w:rsidRDefault="001D0C5D" w:rsidP="00CF3CB7">
            <w:pPr>
              <w:spacing w:line="276" w:lineRule="auto"/>
              <w:ind w:left="22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 w:rsidRPr="00873D11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Agence compétente à décider:</w:t>
            </w:r>
          </w:p>
        </w:tc>
        <w:tc>
          <w:tcPr>
            <w:tcW w:w="3129" w:type="pct"/>
          </w:tcPr>
          <w:p w:rsidR="001D0C5D" w:rsidRPr="00873D11" w:rsidRDefault="001D0C5D" w:rsidP="00CF3CB7">
            <w:pPr>
              <w:spacing w:line="276" w:lineRule="auto"/>
              <w:ind w:left="10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 w:rsidRPr="00873D11"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Commission de gestion de Zones économiques, industrielles</w:t>
            </w:r>
          </w:p>
        </w:tc>
      </w:tr>
      <w:tr w:rsidR="001D0C5D" w:rsidRPr="00873D11" w:rsidTr="00CF3CB7">
        <w:trPr>
          <w:trHeight w:val="364"/>
        </w:trPr>
        <w:tc>
          <w:tcPr>
            <w:tcW w:w="1871" w:type="pct"/>
          </w:tcPr>
          <w:p w:rsidR="001D0C5D" w:rsidRPr="00873D11" w:rsidRDefault="001D0C5D" w:rsidP="00CF3CB7">
            <w:pPr>
              <w:spacing w:line="276" w:lineRule="auto"/>
              <w:ind w:left="22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 w:rsidRPr="00873D11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Lieu de réception: </w:t>
            </w:r>
          </w:p>
        </w:tc>
        <w:tc>
          <w:tcPr>
            <w:tcW w:w="3129" w:type="pct"/>
          </w:tcPr>
          <w:p w:rsidR="001D0C5D" w:rsidRPr="00873D11" w:rsidRDefault="001D0C5D" w:rsidP="00CF3CB7">
            <w:pPr>
              <w:spacing w:line="276" w:lineRule="auto"/>
              <w:ind w:left="10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 w:rsidRPr="00873D11"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Centre de service d’administration publique provincial, 01 rue Le Lai - ville de Hué (Tél : 0234.3856868)</w:t>
            </w:r>
          </w:p>
        </w:tc>
      </w:tr>
      <w:tr w:rsidR="001D0C5D" w:rsidRPr="00873D11" w:rsidTr="00CF3CB7">
        <w:trPr>
          <w:trHeight w:val="364"/>
        </w:trPr>
        <w:tc>
          <w:tcPr>
            <w:tcW w:w="1871" w:type="pct"/>
          </w:tcPr>
          <w:p w:rsidR="001D0C5D" w:rsidRPr="00873D11" w:rsidRDefault="001D0C5D" w:rsidP="00CF3CB7">
            <w:pPr>
              <w:spacing w:line="276" w:lineRule="auto"/>
              <w:ind w:left="22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 w:rsidRPr="00873D11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Horaires de réception:</w:t>
            </w:r>
          </w:p>
        </w:tc>
        <w:tc>
          <w:tcPr>
            <w:tcW w:w="3129" w:type="pct"/>
          </w:tcPr>
          <w:p w:rsidR="001D0C5D" w:rsidRPr="00873D11" w:rsidRDefault="001D0C5D" w:rsidP="00CF3CB7">
            <w:pPr>
              <w:spacing w:line="276" w:lineRule="auto"/>
              <w:ind w:left="10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 w:rsidRPr="00873D11"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Du lundi au vendredi et le samedi matin (sauf les jours fériés selon la réglementation)</w:t>
            </w:r>
          </w:p>
        </w:tc>
      </w:tr>
      <w:tr w:rsidR="001D0C5D" w:rsidRPr="00873D11" w:rsidTr="00CF3CB7">
        <w:trPr>
          <w:trHeight w:val="345"/>
        </w:trPr>
        <w:tc>
          <w:tcPr>
            <w:tcW w:w="1871" w:type="pct"/>
          </w:tcPr>
          <w:p w:rsidR="001D0C5D" w:rsidRPr="00873D11" w:rsidRDefault="001D0C5D" w:rsidP="00CF3CB7">
            <w:pPr>
              <w:spacing w:line="276" w:lineRule="auto"/>
              <w:ind w:left="22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 w:rsidRPr="00873D11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Délai de traitement:</w:t>
            </w:r>
          </w:p>
        </w:tc>
        <w:tc>
          <w:tcPr>
            <w:tcW w:w="3129" w:type="pct"/>
          </w:tcPr>
          <w:p w:rsidR="001D0C5D" w:rsidRPr="00873D11" w:rsidRDefault="001D0C5D" w:rsidP="00CF3CB7">
            <w:pPr>
              <w:spacing w:line="276" w:lineRule="auto"/>
              <w:ind w:left="10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 w:rsidRPr="00873D11"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Cinq jours (05 jours ouvrables à compter de la date de réception d'un dossier complet et valide)</w:t>
            </w:r>
          </w:p>
        </w:tc>
      </w:tr>
      <w:tr w:rsidR="001D0C5D" w:rsidRPr="00873D11" w:rsidTr="00CF3CB7">
        <w:trPr>
          <w:trHeight w:val="345"/>
        </w:trPr>
        <w:tc>
          <w:tcPr>
            <w:tcW w:w="1871" w:type="pct"/>
          </w:tcPr>
          <w:p w:rsidR="001D0C5D" w:rsidRPr="00873D11" w:rsidRDefault="001D0C5D" w:rsidP="00CF3CB7">
            <w:pPr>
              <w:spacing w:line="276" w:lineRule="auto"/>
              <w:ind w:left="22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 w:rsidRPr="00873D11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Honoraires et frais:</w:t>
            </w:r>
          </w:p>
        </w:tc>
        <w:tc>
          <w:tcPr>
            <w:tcW w:w="3129" w:type="pct"/>
          </w:tcPr>
          <w:p w:rsidR="001D0C5D" w:rsidRPr="00873D11" w:rsidRDefault="001D0C5D" w:rsidP="00CF3CB7">
            <w:pPr>
              <w:spacing w:line="276" w:lineRule="auto"/>
              <w:ind w:left="10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 w:rsidRPr="00873D11"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Non</w:t>
            </w:r>
          </w:p>
        </w:tc>
      </w:tr>
    </w:tbl>
    <w:p w:rsidR="001D0C5D" w:rsidRPr="00873D11" w:rsidRDefault="001D0C5D" w:rsidP="001D0C5D">
      <w:pPr>
        <w:spacing w:before="240" w:line="276" w:lineRule="auto"/>
        <w:rPr>
          <w:rFonts w:eastAsia="Times New Roman"/>
          <w:color w:val="000000" w:themeColor="text1"/>
          <w:sz w:val="26"/>
          <w:szCs w:val="26"/>
          <w:lang w:val="fr-FR"/>
        </w:rPr>
      </w:pPr>
      <w:r w:rsidRPr="00873D11">
        <w:rPr>
          <w:rFonts w:eastAsia="Times New Roman"/>
          <w:b/>
          <w:bCs/>
          <w:color w:val="000000" w:themeColor="text1"/>
          <w:sz w:val="26"/>
          <w:szCs w:val="26"/>
          <w:lang w:val="fr-FR"/>
        </w:rPr>
        <w:t>II. Démarche de mise en œuvre:</w:t>
      </w:r>
    </w:p>
    <w:p w:rsidR="001D0C5D" w:rsidRPr="00873D11" w:rsidRDefault="001D0C5D" w:rsidP="001D0C5D">
      <w:pPr>
        <w:spacing w:line="276" w:lineRule="auto"/>
        <w:jc w:val="both"/>
        <w:rPr>
          <w:rFonts w:eastAsia="Times New Roman"/>
          <w:color w:val="000000" w:themeColor="text1"/>
          <w:sz w:val="26"/>
          <w:szCs w:val="26"/>
          <w:lang w:val="fr-FR"/>
        </w:rPr>
      </w:pPr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 xml:space="preserve">- </w:t>
      </w:r>
      <w:r w:rsidRPr="00873D11">
        <w:rPr>
          <w:rFonts w:eastAsia="Times New Roman"/>
          <w:b/>
          <w:bCs/>
          <w:color w:val="000000" w:themeColor="text1"/>
          <w:sz w:val="26"/>
          <w:szCs w:val="26"/>
          <w:lang w:val="fr-FR"/>
        </w:rPr>
        <w:t>Étape 1:</w:t>
      </w:r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 xml:space="preserve"> L'investisseur dépose la demande de </w:t>
      </w:r>
      <w:proofErr w:type="spellStart"/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>re</w:t>
      </w:r>
      <w:proofErr w:type="spellEnd"/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 xml:space="preserve">-délivrance du certificat d'enregistrement d'investissement à la Section de réception et de retour des résultats de la Commission de gestion des Zones économiques, industrielles provinciales (ci-après dénommé la Commission de gestion) au Centre de service de l'administration publique provincial de </w:t>
      </w:r>
      <w:proofErr w:type="spellStart"/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>Thua</w:t>
      </w:r>
      <w:proofErr w:type="spellEnd"/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>Thien</w:t>
      </w:r>
      <w:proofErr w:type="spellEnd"/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 xml:space="preserve"> Hue. La Section de réception et de retour des résultats remettra une note de rendez-vous pour rendre les résultats à l'individu / à l'organisation.</w:t>
      </w:r>
    </w:p>
    <w:p w:rsidR="001D0C5D" w:rsidRPr="00873D11" w:rsidRDefault="001D0C5D" w:rsidP="001D0C5D">
      <w:pPr>
        <w:spacing w:line="276" w:lineRule="auto"/>
        <w:jc w:val="both"/>
        <w:rPr>
          <w:rFonts w:eastAsia="Times New Roman"/>
          <w:color w:val="000000" w:themeColor="text1"/>
          <w:sz w:val="26"/>
          <w:szCs w:val="26"/>
          <w:lang w:val="fr-FR"/>
        </w:rPr>
      </w:pPr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 xml:space="preserve">- </w:t>
      </w:r>
      <w:r w:rsidRPr="00873D11">
        <w:rPr>
          <w:rFonts w:eastAsia="Times New Roman"/>
          <w:b/>
          <w:bCs/>
          <w:color w:val="000000" w:themeColor="text1"/>
          <w:sz w:val="26"/>
          <w:szCs w:val="26"/>
          <w:lang w:val="fr-FR"/>
        </w:rPr>
        <w:t>Étape 2:</w:t>
      </w:r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 xml:space="preserve"> La Commission de gestion délivre de nouveau le Certificat d'Enregistrement d'Investissement dans les 05 jours ouvrables à compter de la date de réception de la demande écrite de l'investisseur.</w:t>
      </w:r>
    </w:p>
    <w:p w:rsidR="001D0C5D" w:rsidRPr="00873D11" w:rsidRDefault="001D0C5D" w:rsidP="001D0C5D">
      <w:pPr>
        <w:spacing w:line="276" w:lineRule="auto"/>
        <w:jc w:val="both"/>
        <w:rPr>
          <w:rFonts w:eastAsia="Times New Roman"/>
          <w:color w:val="000000" w:themeColor="text1"/>
          <w:sz w:val="26"/>
          <w:szCs w:val="26"/>
          <w:lang w:val="fr-FR"/>
        </w:rPr>
      </w:pPr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 xml:space="preserve">- </w:t>
      </w:r>
      <w:r w:rsidRPr="00873D11">
        <w:rPr>
          <w:rFonts w:eastAsia="Times New Roman"/>
          <w:b/>
          <w:bCs/>
          <w:color w:val="000000" w:themeColor="text1"/>
          <w:sz w:val="26"/>
          <w:szCs w:val="26"/>
          <w:lang w:val="fr-FR"/>
        </w:rPr>
        <w:t>Étape 3:</w:t>
      </w:r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 xml:space="preserve"> la Commission de gestion des Zones économiques, industrielles provinciales transfère les résultats au Centre de service de l'administration publique provincial de </w:t>
      </w:r>
      <w:proofErr w:type="spellStart"/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>Thua</w:t>
      </w:r>
      <w:proofErr w:type="spellEnd"/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>Thien</w:t>
      </w:r>
      <w:proofErr w:type="spellEnd"/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 xml:space="preserve"> Hue.</w:t>
      </w:r>
    </w:p>
    <w:p w:rsidR="001D0C5D" w:rsidRPr="00873D11" w:rsidRDefault="001D0C5D" w:rsidP="001D0C5D">
      <w:pPr>
        <w:spacing w:line="276" w:lineRule="auto"/>
        <w:jc w:val="both"/>
        <w:rPr>
          <w:rFonts w:eastAsia="Times New Roman"/>
          <w:color w:val="000000" w:themeColor="text1"/>
          <w:sz w:val="26"/>
          <w:szCs w:val="26"/>
          <w:lang w:val="fr-FR"/>
        </w:rPr>
      </w:pPr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 xml:space="preserve">- </w:t>
      </w:r>
      <w:r w:rsidRPr="00873D11">
        <w:rPr>
          <w:rFonts w:eastAsia="Times New Roman"/>
          <w:b/>
          <w:bCs/>
          <w:color w:val="000000" w:themeColor="text1"/>
          <w:sz w:val="26"/>
          <w:szCs w:val="26"/>
          <w:lang w:val="fr-FR"/>
        </w:rPr>
        <w:t>Étape 4:</w:t>
      </w:r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 xml:space="preserve"> la Section de réception et de retour des résultats de la Commission de gestion au Centre de service de l'administration publique provincial de </w:t>
      </w:r>
      <w:proofErr w:type="spellStart"/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>Thua</w:t>
      </w:r>
      <w:proofErr w:type="spellEnd"/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>Thien</w:t>
      </w:r>
      <w:proofErr w:type="spellEnd"/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 xml:space="preserve"> Hue remettra les résultats aux individus / organisations.</w:t>
      </w:r>
    </w:p>
    <w:p w:rsidR="001D0C5D" w:rsidRPr="00873D11" w:rsidRDefault="001D0C5D" w:rsidP="001D0C5D">
      <w:pPr>
        <w:spacing w:line="276" w:lineRule="auto"/>
        <w:jc w:val="both"/>
        <w:rPr>
          <w:rFonts w:eastAsia="Times New Roman"/>
          <w:color w:val="000000" w:themeColor="text1"/>
          <w:sz w:val="26"/>
          <w:szCs w:val="26"/>
          <w:lang w:val="fr-FR"/>
        </w:rPr>
      </w:pPr>
      <w:r w:rsidRPr="00873D11">
        <w:rPr>
          <w:rFonts w:eastAsia="Times New Roman"/>
          <w:b/>
          <w:bCs/>
          <w:color w:val="000000" w:themeColor="text1"/>
          <w:sz w:val="26"/>
          <w:szCs w:val="26"/>
          <w:lang w:val="fr-FR"/>
        </w:rPr>
        <w:t>Méthode de mise en œuvre:</w:t>
      </w:r>
    </w:p>
    <w:p w:rsidR="001D0C5D" w:rsidRPr="00873D11" w:rsidRDefault="001D0C5D" w:rsidP="001D0C5D">
      <w:pPr>
        <w:spacing w:line="276" w:lineRule="auto"/>
        <w:ind w:right="-560"/>
        <w:jc w:val="both"/>
        <w:rPr>
          <w:rFonts w:eastAsia="Times New Roman"/>
          <w:color w:val="000000" w:themeColor="text1"/>
          <w:sz w:val="26"/>
          <w:szCs w:val="26"/>
          <w:lang w:val="fr-FR"/>
        </w:rPr>
      </w:pPr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>- Directe au Centre de service de l'administration publique provincial ;</w:t>
      </w:r>
    </w:p>
    <w:p w:rsidR="001D0C5D" w:rsidRPr="00873D11" w:rsidRDefault="001D0C5D" w:rsidP="001D0C5D">
      <w:pPr>
        <w:spacing w:line="276" w:lineRule="auto"/>
        <w:ind w:right="-560"/>
        <w:jc w:val="both"/>
        <w:rPr>
          <w:rFonts w:eastAsia="Times New Roman"/>
          <w:color w:val="000000" w:themeColor="text1"/>
          <w:sz w:val="26"/>
          <w:szCs w:val="26"/>
          <w:lang w:val="fr-FR"/>
        </w:rPr>
      </w:pPr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>- Par les services postaux publics comme prescrit.</w:t>
      </w:r>
    </w:p>
    <w:p w:rsidR="001D0C5D" w:rsidRPr="00873D11" w:rsidRDefault="001D0C5D" w:rsidP="001D0C5D">
      <w:pPr>
        <w:spacing w:line="276" w:lineRule="auto"/>
        <w:rPr>
          <w:rFonts w:eastAsia="Times New Roman"/>
          <w:color w:val="000000" w:themeColor="text1"/>
          <w:sz w:val="26"/>
          <w:szCs w:val="26"/>
          <w:lang w:val="fr-FR"/>
        </w:rPr>
      </w:pPr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>- En ligne sur le portail de la fonction publique provinciale.</w:t>
      </w:r>
    </w:p>
    <w:p w:rsidR="001D0C5D" w:rsidRPr="00873D11" w:rsidRDefault="001D0C5D" w:rsidP="001D0C5D">
      <w:pPr>
        <w:spacing w:after="240" w:line="276" w:lineRule="auto"/>
        <w:ind w:left="280" w:hanging="280"/>
        <w:rPr>
          <w:rFonts w:eastAsia="Times New Roman"/>
          <w:b/>
          <w:bCs/>
          <w:color w:val="000000" w:themeColor="text1"/>
          <w:sz w:val="26"/>
          <w:szCs w:val="26"/>
          <w:lang w:val="fr-FR"/>
        </w:rPr>
      </w:pPr>
      <w:r w:rsidRPr="00873D11">
        <w:rPr>
          <w:rFonts w:eastAsia="Times New Roman"/>
          <w:b/>
          <w:bCs/>
          <w:color w:val="000000" w:themeColor="text1"/>
          <w:sz w:val="26"/>
          <w:szCs w:val="26"/>
          <w:lang w:val="fr-FR"/>
        </w:rPr>
        <w:t>III. Dossier:</w:t>
      </w:r>
    </w:p>
    <w:tbl>
      <w:tblPr>
        <w:tblW w:w="0" w:type="auto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8605"/>
      </w:tblGrid>
      <w:tr w:rsidR="001D0C5D" w:rsidRPr="00873D11" w:rsidTr="00CF3CB7">
        <w:trPr>
          <w:trHeight w:val="28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C5D" w:rsidRPr="00873D11" w:rsidRDefault="001D0C5D" w:rsidP="00CF3CB7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C5D" w:rsidRPr="00873D11" w:rsidRDefault="001D0C5D" w:rsidP="00CF3CB7">
            <w:pPr>
              <w:spacing w:line="276" w:lineRule="auto"/>
              <w:ind w:left="10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73D11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Noms des documents</w:t>
            </w:r>
          </w:p>
        </w:tc>
      </w:tr>
      <w:tr w:rsidR="001D0C5D" w:rsidRPr="00873D11" w:rsidTr="00CF3CB7">
        <w:trPr>
          <w:trHeight w:val="5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C5D" w:rsidRPr="00873D11" w:rsidRDefault="001D0C5D" w:rsidP="00CF3CB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73D11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0C5D" w:rsidRPr="00873D11" w:rsidRDefault="001D0C5D" w:rsidP="00CF3CB7">
            <w:pPr>
              <w:spacing w:line="276" w:lineRule="auto"/>
              <w:ind w:left="10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 w:rsidRPr="00873D11"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Demande écrite de délivrer de nouveau le Certificat d’enregistrement  d'investissement</w:t>
            </w:r>
          </w:p>
        </w:tc>
      </w:tr>
    </w:tbl>
    <w:p w:rsidR="001D0C5D" w:rsidRPr="00873D11" w:rsidRDefault="001D0C5D" w:rsidP="001D0C5D">
      <w:pPr>
        <w:spacing w:line="276" w:lineRule="auto"/>
        <w:rPr>
          <w:rFonts w:eastAsia="Times New Roman"/>
          <w:color w:val="000000" w:themeColor="text1"/>
          <w:sz w:val="26"/>
          <w:szCs w:val="26"/>
          <w:lang w:val="fr-FR"/>
        </w:rPr>
      </w:pPr>
      <w:r w:rsidRPr="00873D11">
        <w:rPr>
          <w:rFonts w:eastAsia="Times New Roman"/>
          <w:b/>
          <w:bCs/>
          <w:color w:val="000000" w:themeColor="text1"/>
          <w:sz w:val="26"/>
          <w:szCs w:val="26"/>
          <w:lang w:val="fr-FR"/>
        </w:rPr>
        <w:t>Nombre de dossiers: 1</w:t>
      </w:r>
    </w:p>
    <w:p w:rsidR="001D0C5D" w:rsidRPr="00873D11" w:rsidRDefault="001D0C5D" w:rsidP="001D0C5D">
      <w:pPr>
        <w:spacing w:line="276" w:lineRule="auto"/>
        <w:jc w:val="both"/>
        <w:rPr>
          <w:rFonts w:eastAsia="Times New Roman"/>
          <w:color w:val="000000" w:themeColor="text1"/>
          <w:sz w:val="26"/>
          <w:szCs w:val="26"/>
          <w:lang w:val="fr-FR"/>
        </w:rPr>
      </w:pPr>
      <w:r w:rsidRPr="00873D11">
        <w:rPr>
          <w:rFonts w:eastAsia="Times New Roman"/>
          <w:b/>
          <w:bCs/>
          <w:color w:val="000000" w:themeColor="text1"/>
          <w:sz w:val="26"/>
          <w:szCs w:val="26"/>
          <w:lang w:val="fr-FR"/>
        </w:rPr>
        <w:t>IV. Demande:</w:t>
      </w:r>
    </w:p>
    <w:p w:rsidR="001D0C5D" w:rsidRPr="00873D11" w:rsidRDefault="001D0C5D" w:rsidP="001D0C5D">
      <w:pPr>
        <w:spacing w:line="276" w:lineRule="auto"/>
        <w:ind w:right="-140"/>
        <w:jc w:val="both"/>
        <w:rPr>
          <w:rFonts w:eastAsia="Times New Roman"/>
          <w:color w:val="000000" w:themeColor="text1"/>
          <w:sz w:val="26"/>
          <w:szCs w:val="26"/>
          <w:lang w:val="fr-FR"/>
        </w:rPr>
      </w:pPr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>L’investisseur a perdu ou endommagé le certificat d'enregistrement d'investissement</w:t>
      </w:r>
    </w:p>
    <w:p w:rsidR="001D0C5D" w:rsidRPr="00873D11" w:rsidRDefault="001D0C5D" w:rsidP="001D0C5D">
      <w:pPr>
        <w:spacing w:line="276" w:lineRule="auto"/>
        <w:ind w:left="1080" w:right="-560" w:hanging="1080"/>
        <w:jc w:val="both"/>
        <w:rPr>
          <w:rFonts w:eastAsia="Times New Roman"/>
          <w:color w:val="000000" w:themeColor="text1"/>
          <w:sz w:val="26"/>
          <w:szCs w:val="26"/>
          <w:lang w:val="fr-FR"/>
        </w:rPr>
      </w:pPr>
      <w:r w:rsidRPr="00873D11">
        <w:rPr>
          <w:rFonts w:eastAsia="Times New Roman"/>
          <w:b/>
          <w:bCs/>
          <w:color w:val="000000" w:themeColor="text1"/>
          <w:sz w:val="26"/>
          <w:szCs w:val="26"/>
          <w:lang w:val="fr-FR"/>
        </w:rPr>
        <w:t>V. Base juridique:</w:t>
      </w:r>
    </w:p>
    <w:p w:rsidR="001D0C5D" w:rsidRPr="00873D11" w:rsidRDefault="001D0C5D" w:rsidP="001D0C5D">
      <w:pPr>
        <w:spacing w:line="276" w:lineRule="auto"/>
        <w:ind w:right="-560"/>
        <w:jc w:val="both"/>
        <w:rPr>
          <w:rFonts w:eastAsia="Times New Roman"/>
          <w:color w:val="000000" w:themeColor="text1"/>
          <w:sz w:val="26"/>
          <w:szCs w:val="26"/>
          <w:lang w:val="fr-FR"/>
        </w:rPr>
      </w:pPr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>Décret n ° 118/2015/ND-CP du gouvernement promulgué le 12/11/2015</w:t>
      </w:r>
    </w:p>
    <w:p w:rsidR="001D0C5D" w:rsidRPr="00873D11" w:rsidRDefault="001D0C5D" w:rsidP="001D0C5D">
      <w:pPr>
        <w:spacing w:line="276" w:lineRule="auto"/>
        <w:ind w:right="-560"/>
        <w:jc w:val="both"/>
        <w:rPr>
          <w:rFonts w:eastAsia="Times New Roman"/>
          <w:color w:val="000000" w:themeColor="text1"/>
          <w:sz w:val="26"/>
          <w:szCs w:val="26"/>
          <w:lang w:val="fr-FR"/>
        </w:rPr>
      </w:pPr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 xml:space="preserve">- Loi n° 67/2014/QH13 de l'Assemblée nationale promulguée le 26/11/2014       </w:t>
      </w:r>
    </w:p>
    <w:p w:rsidR="001D0C5D" w:rsidRPr="00873D11" w:rsidRDefault="001D0C5D" w:rsidP="001D0C5D">
      <w:pPr>
        <w:spacing w:line="276" w:lineRule="auto"/>
        <w:ind w:right="4"/>
        <w:jc w:val="both"/>
        <w:rPr>
          <w:rFonts w:eastAsia="Times New Roman"/>
          <w:color w:val="000000" w:themeColor="text1"/>
          <w:sz w:val="26"/>
          <w:szCs w:val="26"/>
          <w:lang w:val="fr-FR"/>
        </w:rPr>
      </w:pPr>
      <w:r w:rsidRPr="00873D11">
        <w:rPr>
          <w:rFonts w:eastAsia="Times New Roman"/>
          <w:color w:val="000000" w:themeColor="text1"/>
          <w:sz w:val="26"/>
          <w:szCs w:val="26"/>
          <w:lang w:val="fr-FR"/>
        </w:rPr>
        <w:t>- Circulaire n° 16/2015/TT-BKHDT du Ministère du Plan et de l'Investissement promulguée le 18/11/2015</w:t>
      </w:r>
    </w:p>
    <w:p w:rsidR="00BB7DD9" w:rsidRPr="00873D11" w:rsidRDefault="00873D11">
      <w:pPr>
        <w:rPr>
          <w:color w:val="000000" w:themeColor="text1"/>
        </w:rPr>
      </w:pPr>
    </w:p>
    <w:sectPr w:rsidR="00BB7DD9" w:rsidRPr="00873D11" w:rsidSect="001D0C5D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237D3"/>
    <w:multiLevelType w:val="hybridMultilevel"/>
    <w:tmpl w:val="81B4530C"/>
    <w:lvl w:ilvl="0" w:tplc="AE6CD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D0C5D"/>
    <w:rsid w:val="00030523"/>
    <w:rsid w:val="001D0C5D"/>
    <w:rsid w:val="00274824"/>
    <w:rsid w:val="00316B50"/>
    <w:rsid w:val="003C25D3"/>
    <w:rsid w:val="003F07EA"/>
    <w:rsid w:val="003F618E"/>
    <w:rsid w:val="004765A0"/>
    <w:rsid w:val="004C6B13"/>
    <w:rsid w:val="004F615A"/>
    <w:rsid w:val="005B262C"/>
    <w:rsid w:val="005B56DA"/>
    <w:rsid w:val="00625B90"/>
    <w:rsid w:val="00645EFC"/>
    <w:rsid w:val="00675D44"/>
    <w:rsid w:val="007609D7"/>
    <w:rsid w:val="00873D11"/>
    <w:rsid w:val="008A1B44"/>
    <w:rsid w:val="00A13A46"/>
    <w:rsid w:val="00A24EDA"/>
    <w:rsid w:val="00A32259"/>
    <w:rsid w:val="00A411F3"/>
    <w:rsid w:val="00A47691"/>
    <w:rsid w:val="00A70636"/>
    <w:rsid w:val="00AA0561"/>
    <w:rsid w:val="00AA141A"/>
    <w:rsid w:val="00B20371"/>
    <w:rsid w:val="00C47173"/>
    <w:rsid w:val="00CA7CC0"/>
    <w:rsid w:val="00D756DB"/>
    <w:rsid w:val="00DD1FFC"/>
    <w:rsid w:val="00DE79C8"/>
    <w:rsid w:val="00E56ED5"/>
    <w:rsid w:val="00E82B4E"/>
    <w:rsid w:val="00F11284"/>
    <w:rsid w:val="00F65101"/>
    <w:rsid w:val="00FD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C5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2204</Characters>
  <Application>Microsoft Office Word</Application>
  <DocSecurity>0</DocSecurity>
  <Lines>18</Lines>
  <Paragraphs>5</Paragraphs>
  <ScaleCrop>false</ScaleCrop>
  <Company>Grizli777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ntnngoc</dc:creator>
  <cp:lastModifiedBy>ntnngoc</cp:lastModifiedBy>
  <cp:revision>2</cp:revision>
  <dcterms:created xsi:type="dcterms:W3CDTF">2020-08-27T03:51:00Z</dcterms:created>
  <dcterms:modified xsi:type="dcterms:W3CDTF">2020-08-27T04:01:00Z</dcterms:modified>
</cp:coreProperties>
</file>