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49" w:type="pct"/>
        <w:jc w:val="center"/>
        <w:tblLook w:val="01E0" w:firstRow="1" w:lastRow="1" w:firstColumn="1" w:lastColumn="1" w:noHBand="0" w:noVBand="0"/>
      </w:tblPr>
      <w:tblGrid>
        <w:gridCol w:w="5991"/>
        <w:gridCol w:w="8079"/>
      </w:tblGrid>
      <w:tr w:rsidR="008920FF" w:rsidRPr="00C94890" w14:paraId="7A9F1DC0" w14:textId="77777777" w:rsidTr="00F425F0">
        <w:trPr>
          <w:trHeight w:val="850"/>
          <w:jc w:val="center"/>
        </w:trPr>
        <w:tc>
          <w:tcPr>
            <w:tcW w:w="2129" w:type="pct"/>
          </w:tcPr>
          <w:p w14:paraId="6902B52C" w14:textId="77777777" w:rsidR="008920FF" w:rsidRPr="00C94890" w:rsidRDefault="00F425F0" w:rsidP="00E1318F">
            <w:pPr>
              <w:widowControl w:val="0"/>
              <w:spacing w:after="0" w:line="240" w:lineRule="auto"/>
              <w:jc w:val="center"/>
              <w:rPr>
                <w:sz w:val="26"/>
                <w:szCs w:val="26"/>
              </w:rPr>
            </w:pPr>
            <w:r w:rsidRPr="00C94890">
              <w:rPr>
                <w:sz w:val="26"/>
                <w:szCs w:val="26"/>
              </w:rPr>
              <w:t xml:space="preserve">UBND </w:t>
            </w:r>
            <w:r w:rsidR="00AB4CA3" w:rsidRPr="00C94890">
              <w:rPr>
                <w:sz w:val="26"/>
                <w:szCs w:val="26"/>
              </w:rPr>
              <w:t>THÀNH PHỐ</w:t>
            </w:r>
            <w:r w:rsidR="008920FF" w:rsidRPr="00C94890">
              <w:rPr>
                <w:sz w:val="26"/>
                <w:szCs w:val="26"/>
              </w:rPr>
              <w:t xml:space="preserve"> HUẾ</w:t>
            </w:r>
          </w:p>
          <w:p w14:paraId="27ED5824" w14:textId="7A8562E1" w:rsidR="008920FF" w:rsidRPr="00C94890" w:rsidRDefault="008920FF" w:rsidP="00E1318F">
            <w:pPr>
              <w:widowControl w:val="0"/>
              <w:spacing w:after="0" w:line="240" w:lineRule="auto"/>
              <w:jc w:val="center"/>
              <w:rPr>
                <w:b/>
                <w:sz w:val="26"/>
                <w:szCs w:val="26"/>
              </w:rPr>
            </w:pPr>
            <w:r w:rsidRPr="00C94890">
              <w:rPr>
                <w:b/>
                <w:sz w:val="26"/>
                <w:szCs w:val="26"/>
              </w:rPr>
              <w:t xml:space="preserve">SỞ </w:t>
            </w:r>
            <w:r w:rsidR="008944D7">
              <w:rPr>
                <w:b/>
                <w:sz w:val="26"/>
                <w:szCs w:val="26"/>
              </w:rPr>
              <w:t>KHOA HỌC VÀ CÔNG NGHỆ</w:t>
            </w:r>
          </w:p>
          <w:p w14:paraId="575B19EB" w14:textId="77777777" w:rsidR="008920FF" w:rsidRPr="00C94890" w:rsidRDefault="00452931" w:rsidP="00E1318F">
            <w:pPr>
              <w:widowControl w:val="0"/>
              <w:spacing w:after="0" w:line="240" w:lineRule="auto"/>
              <w:jc w:val="center"/>
              <w:rPr>
                <w:sz w:val="26"/>
                <w:szCs w:val="26"/>
              </w:rPr>
            </w:pPr>
            <w:r w:rsidRPr="00C94890">
              <w:rPr>
                <w:noProof/>
                <w:sz w:val="26"/>
                <w:szCs w:val="26"/>
              </w:rPr>
              <mc:AlternateContent>
                <mc:Choice Requires="wps">
                  <w:drawing>
                    <wp:anchor distT="0" distB="0" distL="114300" distR="114300" simplePos="0" relativeHeight="251661312" behindDoc="0" locked="0" layoutInCell="1" allowOverlap="1" wp14:anchorId="5D08BDFF" wp14:editId="5F122EE5">
                      <wp:simplePos x="0" y="0"/>
                      <wp:positionH relativeFrom="margin">
                        <wp:posOffset>1118870</wp:posOffset>
                      </wp:positionH>
                      <wp:positionV relativeFrom="paragraph">
                        <wp:posOffset>20320</wp:posOffset>
                      </wp:positionV>
                      <wp:extent cx="1304925" cy="0"/>
                      <wp:effectExtent l="0" t="0" r="95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80DBF" id="Line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8.1pt,1.6pt" to="190.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">
                      <w10:wrap anchorx="margin"/>
                    </v:line>
                  </w:pict>
                </mc:Fallback>
              </mc:AlternateContent>
            </w:r>
          </w:p>
        </w:tc>
        <w:tc>
          <w:tcPr>
            <w:tcW w:w="2871" w:type="pct"/>
          </w:tcPr>
          <w:p w14:paraId="5CFE3917" w14:textId="77777777" w:rsidR="008920FF" w:rsidRPr="00C94890" w:rsidRDefault="008920FF" w:rsidP="00E1318F">
            <w:pPr>
              <w:widowControl w:val="0"/>
              <w:spacing w:after="0" w:line="240" w:lineRule="auto"/>
              <w:ind w:hanging="22"/>
              <w:jc w:val="center"/>
              <w:rPr>
                <w:b/>
                <w:sz w:val="26"/>
                <w:szCs w:val="26"/>
              </w:rPr>
            </w:pPr>
            <w:r w:rsidRPr="00C94890">
              <w:rPr>
                <w:b/>
                <w:sz w:val="26"/>
                <w:szCs w:val="26"/>
              </w:rPr>
              <w:t>CỘNG HÒA XÃ HỘI CHỦ NGHĨA VIỆT NAM</w:t>
            </w:r>
          </w:p>
          <w:p w14:paraId="1FE116B4" w14:textId="77777777" w:rsidR="008920FF" w:rsidRPr="00C94890" w:rsidRDefault="008920FF" w:rsidP="00E1318F">
            <w:pPr>
              <w:widowControl w:val="0"/>
              <w:spacing w:after="0" w:line="240" w:lineRule="auto"/>
              <w:jc w:val="center"/>
              <w:rPr>
                <w:b/>
                <w:sz w:val="26"/>
                <w:szCs w:val="26"/>
              </w:rPr>
            </w:pPr>
            <w:r w:rsidRPr="00C94890">
              <w:rPr>
                <w:b/>
                <w:sz w:val="26"/>
                <w:szCs w:val="26"/>
              </w:rPr>
              <w:t>Độc lập - Tự do - Hạnh phúc</w:t>
            </w:r>
          </w:p>
          <w:p w14:paraId="1930A7B9" w14:textId="77777777" w:rsidR="008920FF" w:rsidRPr="00C94890" w:rsidRDefault="00452931" w:rsidP="00E1318F">
            <w:pPr>
              <w:widowControl w:val="0"/>
              <w:spacing w:after="0" w:line="240" w:lineRule="auto"/>
              <w:jc w:val="center"/>
              <w:rPr>
                <w:sz w:val="26"/>
                <w:szCs w:val="26"/>
              </w:rPr>
            </w:pPr>
            <w:r w:rsidRPr="00C94890">
              <w:rPr>
                <w:noProof/>
                <w:sz w:val="26"/>
                <w:szCs w:val="26"/>
              </w:rPr>
              <mc:AlternateContent>
                <mc:Choice Requires="wps">
                  <w:drawing>
                    <wp:anchor distT="0" distB="0" distL="114300" distR="114300" simplePos="0" relativeHeight="251660288" behindDoc="0" locked="0" layoutInCell="1" allowOverlap="1" wp14:anchorId="169BEA86" wp14:editId="0E91D421">
                      <wp:simplePos x="0" y="0"/>
                      <wp:positionH relativeFrom="margin">
                        <wp:posOffset>1506059</wp:posOffset>
                      </wp:positionH>
                      <wp:positionV relativeFrom="paragraph">
                        <wp:posOffset>33655</wp:posOffset>
                      </wp:positionV>
                      <wp:extent cx="1997075" cy="0"/>
                      <wp:effectExtent l="0" t="0" r="2222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43BB1" id="Line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8.6pt,2.65pt" to="275.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7U3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">
                      <w10:wrap anchorx="margin"/>
                    </v:line>
                  </w:pict>
                </mc:Fallback>
              </mc:AlternateContent>
            </w:r>
          </w:p>
        </w:tc>
      </w:tr>
    </w:tbl>
    <w:p w14:paraId="64E4E799" w14:textId="77777777" w:rsidR="002518EF" w:rsidRDefault="004D4438" w:rsidP="002518EF">
      <w:pPr>
        <w:widowControl w:val="0"/>
        <w:spacing w:before="240" w:after="0" w:line="240" w:lineRule="auto"/>
        <w:jc w:val="center"/>
        <w:rPr>
          <w:rFonts w:asciiTheme="majorHAnsi" w:hAnsiTheme="majorHAnsi" w:cstheme="majorHAnsi"/>
          <w:b/>
          <w:szCs w:val="28"/>
          <w:lang w:val="vi-VN"/>
        </w:rPr>
      </w:pPr>
      <w:r>
        <w:rPr>
          <w:b/>
        </w:rPr>
        <w:t>BẢN SO SÁNH, THUYẾT MINH</w:t>
      </w:r>
      <w:r w:rsidR="002518EF">
        <w:rPr>
          <w:b/>
        </w:rPr>
        <w:t xml:space="preserve"> </w:t>
      </w:r>
      <w:r w:rsidR="00E7072C" w:rsidRPr="00F629D6">
        <w:rPr>
          <w:rFonts w:asciiTheme="majorHAnsi" w:hAnsiTheme="majorHAnsi" w:cstheme="majorHAnsi"/>
          <w:b/>
          <w:szCs w:val="28"/>
          <w:lang w:val="vi-VN"/>
        </w:rPr>
        <w:t xml:space="preserve">DỰ THẢO </w:t>
      </w:r>
    </w:p>
    <w:p w14:paraId="0C12D980" w14:textId="3C95D437" w:rsidR="00DF7118" w:rsidRPr="002518EF" w:rsidRDefault="002518EF" w:rsidP="002518EF">
      <w:pPr>
        <w:widowControl w:val="0"/>
        <w:spacing w:after="0" w:line="240" w:lineRule="auto"/>
        <w:jc w:val="center"/>
        <w:rPr>
          <w:b/>
        </w:rPr>
      </w:pPr>
      <w:r w:rsidRPr="004733CC">
        <w:rPr>
          <w:b/>
          <w:spacing w:val="-2"/>
          <w:szCs w:val="28"/>
        </w:rPr>
        <w:t>Nghị quyết số 12/2016/NQ-HĐND ngày 09 tháng 12 năm 2016 của Hội đồng nhân dân thành phố Huế về quy hoạch phát triển khoa học và công nghệ tỉnh Thừa Thiên Huế đến năm 2025, tầm nhìn đến năm 2030</w:t>
      </w:r>
    </w:p>
    <w:p w14:paraId="4A2EAA50" w14:textId="094BC775" w:rsidR="008920FF" w:rsidRDefault="008920FF" w:rsidP="008944D7">
      <w:pPr>
        <w:widowControl w:val="0"/>
        <w:spacing w:after="0"/>
        <w:jc w:val="center"/>
        <w:rPr>
          <w:i/>
        </w:rPr>
      </w:pPr>
      <w:r w:rsidRPr="008920FF">
        <w:rPr>
          <w:i/>
        </w:rPr>
        <w:t xml:space="preserve">(Kèm theo </w:t>
      </w:r>
      <w:r w:rsidR="009F0C8A">
        <w:rPr>
          <w:i/>
        </w:rPr>
        <w:t xml:space="preserve">Tờ trình </w:t>
      </w:r>
      <w:r w:rsidRPr="008920FF">
        <w:rPr>
          <w:i/>
        </w:rPr>
        <w:t xml:space="preserve">số </w:t>
      </w:r>
      <w:r w:rsidR="009F0C8A">
        <w:rPr>
          <w:i/>
        </w:rPr>
        <w:t xml:space="preserve">     </w:t>
      </w:r>
      <w:r w:rsidR="007D4913">
        <w:rPr>
          <w:i/>
        </w:rPr>
        <w:t xml:space="preserve"> </w:t>
      </w:r>
      <w:r w:rsidRPr="008920FF">
        <w:rPr>
          <w:i/>
        </w:rPr>
        <w:t>/</w:t>
      </w:r>
      <w:r w:rsidR="009F0C8A">
        <w:rPr>
          <w:i/>
        </w:rPr>
        <w:t>TTr-</w:t>
      </w:r>
      <w:r w:rsidRPr="008920FF">
        <w:rPr>
          <w:i/>
        </w:rPr>
        <w:t>S</w:t>
      </w:r>
      <w:r w:rsidR="008944D7">
        <w:rPr>
          <w:i/>
        </w:rPr>
        <w:t>KHCN</w:t>
      </w:r>
      <w:r w:rsidR="00E7072C">
        <w:rPr>
          <w:i/>
        </w:rPr>
        <w:t xml:space="preserve"> </w:t>
      </w:r>
      <w:r w:rsidRPr="008920FF">
        <w:rPr>
          <w:i/>
        </w:rPr>
        <w:t xml:space="preserve">ngày </w:t>
      </w:r>
      <w:r w:rsidR="009F0C8A">
        <w:rPr>
          <w:i/>
        </w:rPr>
        <w:t xml:space="preserve">    </w:t>
      </w:r>
      <w:r w:rsidRPr="008920FF">
        <w:rPr>
          <w:i/>
        </w:rPr>
        <w:t xml:space="preserve"> tháng </w:t>
      </w:r>
      <w:r w:rsidR="002518EF">
        <w:rPr>
          <w:i/>
        </w:rPr>
        <w:t>7</w:t>
      </w:r>
      <w:r w:rsidR="0043324A">
        <w:rPr>
          <w:i/>
        </w:rPr>
        <w:t xml:space="preserve"> </w:t>
      </w:r>
      <w:r w:rsidRPr="008920FF">
        <w:rPr>
          <w:i/>
        </w:rPr>
        <w:t>năm 202</w:t>
      </w:r>
      <w:r w:rsidR="001D0BB2">
        <w:rPr>
          <w:i/>
        </w:rPr>
        <w:t>6</w:t>
      </w:r>
      <w:r w:rsidRPr="008920FF">
        <w:rPr>
          <w:i/>
        </w:rPr>
        <w:t xml:space="preserve"> của Sở </w:t>
      </w:r>
      <w:r w:rsidR="008944D7">
        <w:rPr>
          <w:i/>
        </w:rPr>
        <w:t>Khoa học và Công nghệ</w:t>
      </w:r>
      <w:r w:rsidRPr="008920FF">
        <w:rPr>
          <w:i/>
        </w:rPr>
        <w:t>)</w:t>
      </w:r>
    </w:p>
    <w:p w14:paraId="1EDB403D" w14:textId="710A8ACC" w:rsidR="005021FE" w:rsidRDefault="005021FE" w:rsidP="00E1318F">
      <w:pPr>
        <w:widowControl w:val="0"/>
        <w:spacing w:after="0" w:line="240" w:lineRule="auto"/>
        <w:jc w:val="center"/>
        <w:rPr>
          <w:i/>
        </w:rPr>
      </w:pPr>
      <w:r>
        <w:rPr>
          <w:i/>
          <w:noProof/>
        </w:rPr>
        <mc:AlternateContent>
          <mc:Choice Requires="wps">
            <w:drawing>
              <wp:anchor distT="0" distB="0" distL="114300" distR="114300" simplePos="0" relativeHeight="251662336" behindDoc="0" locked="0" layoutInCell="1" allowOverlap="1" wp14:anchorId="49D7842A" wp14:editId="3B2D5CE3">
                <wp:simplePos x="0" y="0"/>
                <wp:positionH relativeFrom="column">
                  <wp:posOffset>3025140</wp:posOffset>
                </wp:positionH>
                <wp:positionV relativeFrom="paragraph">
                  <wp:posOffset>38896</wp:posOffset>
                </wp:positionV>
                <wp:extent cx="2210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21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096E6F"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8.2pt,3.05pt" to="412.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" strokecolor="black [3040]"/>
            </w:pict>
          </mc:Fallback>
        </mc:AlternateContent>
      </w:r>
    </w:p>
    <w:p w14:paraId="09E7A86E" w14:textId="77777777" w:rsidR="005021FE" w:rsidRDefault="005021FE" w:rsidP="00E1318F">
      <w:pPr>
        <w:widowControl w:val="0"/>
        <w:spacing w:after="0" w:line="240" w:lineRule="auto"/>
        <w:jc w:val="center"/>
        <w:rPr>
          <w:i/>
        </w:rPr>
      </w:pPr>
    </w:p>
    <w:tbl>
      <w:tblPr>
        <w:tblStyle w:val="TableGrid"/>
        <w:tblW w:w="0" w:type="auto"/>
        <w:tblLook w:val="04A0" w:firstRow="1" w:lastRow="0" w:firstColumn="1" w:lastColumn="0" w:noHBand="0" w:noVBand="1"/>
      </w:tblPr>
      <w:tblGrid>
        <w:gridCol w:w="4663"/>
        <w:gridCol w:w="4663"/>
        <w:gridCol w:w="4663"/>
      </w:tblGrid>
      <w:tr w:rsidR="005021FE" w14:paraId="5C162B69" w14:textId="77777777" w:rsidTr="00D940C9">
        <w:trPr>
          <w:trHeight w:val="591"/>
        </w:trPr>
        <w:tc>
          <w:tcPr>
            <w:tcW w:w="4663" w:type="dxa"/>
            <w:vAlign w:val="center"/>
          </w:tcPr>
          <w:p w14:paraId="5B8CE74E" w14:textId="494FA0A0" w:rsidR="005021FE" w:rsidRDefault="002518EF" w:rsidP="002518EF">
            <w:pPr>
              <w:widowControl w:val="0"/>
              <w:spacing w:before="60" w:after="40"/>
              <w:jc w:val="center"/>
              <w:rPr>
                <w:i/>
              </w:rPr>
            </w:pPr>
            <w:r>
              <w:rPr>
                <w:rFonts w:cs="Times New Roman"/>
                <w:b/>
                <w:bCs/>
                <w:szCs w:val="28"/>
              </w:rPr>
              <w:t>NGHỊ QUYẾT</w:t>
            </w:r>
            <w:r w:rsidR="005021FE" w:rsidRPr="00AF0916">
              <w:rPr>
                <w:rFonts w:cs="Times New Roman"/>
                <w:b/>
                <w:bCs/>
                <w:szCs w:val="28"/>
              </w:rPr>
              <w:t xml:space="preserve"> HIỆN HÀNH</w:t>
            </w:r>
          </w:p>
        </w:tc>
        <w:tc>
          <w:tcPr>
            <w:tcW w:w="4663" w:type="dxa"/>
            <w:vAlign w:val="center"/>
          </w:tcPr>
          <w:p w14:paraId="47927DF1" w14:textId="27A8BAFB" w:rsidR="005021FE" w:rsidRDefault="005021FE" w:rsidP="002518EF">
            <w:pPr>
              <w:widowControl w:val="0"/>
              <w:spacing w:before="60" w:after="40"/>
              <w:jc w:val="center"/>
              <w:rPr>
                <w:i/>
              </w:rPr>
            </w:pPr>
            <w:r>
              <w:rPr>
                <w:rFonts w:cs="Times New Roman"/>
                <w:b/>
                <w:bCs/>
                <w:szCs w:val="28"/>
              </w:rPr>
              <w:t xml:space="preserve">DỰ THẢO </w:t>
            </w:r>
            <w:r w:rsidR="002518EF">
              <w:rPr>
                <w:rFonts w:cs="Times New Roman"/>
                <w:b/>
                <w:bCs/>
                <w:szCs w:val="28"/>
              </w:rPr>
              <w:t>NGHỊ QUYẾT</w:t>
            </w:r>
          </w:p>
        </w:tc>
        <w:tc>
          <w:tcPr>
            <w:tcW w:w="4663" w:type="dxa"/>
            <w:vAlign w:val="center"/>
          </w:tcPr>
          <w:p w14:paraId="59F661E3" w14:textId="7084AB76" w:rsidR="005021FE" w:rsidRDefault="005021FE" w:rsidP="002518EF">
            <w:pPr>
              <w:widowControl w:val="0"/>
              <w:spacing w:before="60" w:after="40"/>
              <w:jc w:val="center"/>
              <w:rPr>
                <w:i/>
              </w:rPr>
            </w:pPr>
            <w:r w:rsidRPr="00E0136E">
              <w:rPr>
                <w:rFonts w:cs="Times New Roman"/>
                <w:b/>
                <w:szCs w:val="28"/>
              </w:rPr>
              <w:t>THUYẾT MINH</w:t>
            </w:r>
          </w:p>
        </w:tc>
      </w:tr>
      <w:tr w:rsidR="005021FE" w14:paraId="2531DBCA" w14:textId="77777777" w:rsidTr="005021FE">
        <w:tc>
          <w:tcPr>
            <w:tcW w:w="4663" w:type="dxa"/>
          </w:tcPr>
          <w:p w14:paraId="598C5534" w14:textId="7A451F7B" w:rsidR="005021FE" w:rsidRDefault="002518EF" w:rsidP="002518EF">
            <w:pPr>
              <w:widowControl w:val="0"/>
              <w:spacing w:before="60" w:after="40"/>
              <w:jc w:val="both"/>
              <w:rPr>
                <w:i/>
              </w:rPr>
            </w:pPr>
            <w:r w:rsidRPr="002518EF">
              <w:rPr>
                <w:color w:val="000000"/>
              </w:rPr>
              <w:t>Nghị quyết số 12/2016/NQ-HĐND ngày 09 tháng 12 năm 2016 của Hội đồng nhân dân thành phố Huế về quy hoạch phát triển khoa học và công nghệ tỉnh Thừa Thiên Huế đến năm 2025, tầm nhìn đến năm 2030</w:t>
            </w:r>
          </w:p>
        </w:tc>
        <w:tc>
          <w:tcPr>
            <w:tcW w:w="4663" w:type="dxa"/>
          </w:tcPr>
          <w:p w14:paraId="04AA60EA" w14:textId="57B59E89" w:rsidR="008944D7" w:rsidRDefault="008944D7" w:rsidP="002518EF">
            <w:pPr>
              <w:spacing w:before="60" w:after="40"/>
              <w:jc w:val="both"/>
              <w:rPr>
                <w:iCs/>
                <w:spacing w:val="-2"/>
                <w:szCs w:val="28"/>
              </w:rPr>
            </w:pPr>
            <w:r w:rsidRPr="008944D7">
              <w:rPr>
                <w:iCs/>
                <w:spacing w:val="-2"/>
                <w:szCs w:val="28"/>
              </w:rPr>
              <w:t xml:space="preserve">Tham mưu Ủy ban nhân dân thành phố </w:t>
            </w:r>
            <w:r w:rsidR="002518EF">
              <w:rPr>
                <w:iCs/>
                <w:spacing w:val="-2"/>
                <w:szCs w:val="28"/>
              </w:rPr>
              <w:t xml:space="preserve">trình Hội đồng nhân dân thành phố </w:t>
            </w:r>
            <w:r w:rsidR="004C0714" w:rsidRPr="004C0714">
              <w:rPr>
                <w:iCs/>
                <w:spacing w:val="-2"/>
                <w:szCs w:val="28"/>
              </w:rPr>
              <w:t xml:space="preserve">ban hành </w:t>
            </w:r>
            <w:r w:rsidR="002518EF" w:rsidRPr="002518EF">
              <w:rPr>
                <w:iCs/>
                <w:spacing w:val="-2"/>
                <w:szCs w:val="28"/>
              </w:rPr>
              <w:t>Nghị quyết số 12/2016/NQ-HĐND ngày 09 tháng 12 năm 2016 của Hội đồng nhân dân thành phố Huế về quy hoạch phát triển khoa học và công nghệ tỉnh Thừa Thiên Huế đến năm 2025, tầm nhìn đến năm 2030</w:t>
            </w:r>
          </w:p>
          <w:p w14:paraId="071DEEB6" w14:textId="4FE44D41" w:rsidR="004C0714" w:rsidRPr="004C0714" w:rsidRDefault="008944D7" w:rsidP="002518EF">
            <w:pPr>
              <w:spacing w:before="60" w:after="40"/>
              <w:jc w:val="both"/>
              <w:rPr>
                <w:iCs/>
                <w:spacing w:val="-2"/>
                <w:szCs w:val="28"/>
              </w:rPr>
            </w:pPr>
            <w:r w:rsidRPr="008944D7">
              <w:rPr>
                <w:b/>
                <w:iCs/>
                <w:spacing w:val="-2"/>
                <w:szCs w:val="28"/>
              </w:rPr>
              <w:t>Điều 1.</w:t>
            </w:r>
            <w:r w:rsidRPr="008944D7">
              <w:rPr>
                <w:iCs/>
                <w:spacing w:val="-2"/>
                <w:szCs w:val="28"/>
              </w:rPr>
              <w:t xml:space="preserve"> </w:t>
            </w:r>
            <w:r w:rsidR="004C0714" w:rsidRPr="004C0714">
              <w:rPr>
                <w:iCs/>
                <w:spacing w:val="-2"/>
                <w:szCs w:val="28"/>
              </w:rPr>
              <w:t xml:space="preserve">Bãi bỏ toàn bộ Quyết định </w:t>
            </w:r>
          </w:p>
          <w:p w14:paraId="0D14EB84" w14:textId="77777777" w:rsidR="002518EF" w:rsidRPr="00BA795C" w:rsidRDefault="002518EF" w:rsidP="002518EF">
            <w:pPr>
              <w:widowControl w:val="0"/>
              <w:spacing w:before="60" w:after="40"/>
              <w:jc w:val="both"/>
              <w:rPr>
                <w:szCs w:val="28"/>
              </w:rPr>
            </w:pPr>
            <w:r w:rsidRPr="00BA795C">
              <w:rPr>
                <w:szCs w:val="28"/>
                <w:lang w:val="nb-NO"/>
              </w:rPr>
              <w:t xml:space="preserve">Bãi bỏ toàn bộ </w:t>
            </w:r>
            <w:r w:rsidRPr="007C319A">
              <w:rPr>
                <w:szCs w:val="28"/>
                <w:lang w:val="nb-NO"/>
              </w:rPr>
              <w:t>Nghị quyết số 12/2016/NQ-HĐND ngày 09 tháng 12 năm 2016 của Hội đồng nhân dân thành phố Huế về quy hoạch phát triển khoa học và công nghệ tỉnh Thừa Thiên Huế đến năm 2025, tầm nhìn đến năm 2030</w:t>
            </w:r>
            <w:r w:rsidRPr="00BA795C">
              <w:rPr>
                <w:szCs w:val="28"/>
                <w:lang w:val="nb-NO"/>
              </w:rPr>
              <w:t>.</w:t>
            </w:r>
          </w:p>
          <w:p w14:paraId="0F0A3986" w14:textId="2257CE92" w:rsidR="00D940C9" w:rsidRDefault="008944D7" w:rsidP="002518EF">
            <w:pPr>
              <w:spacing w:before="60" w:after="40"/>
              <w:jc w:val="both"/>
              <w:rPr>
                <w:iCs/>
                <w:spacing w:val="-2"/>
                <w:szCs w:val="28"/>
              </w:rPr>
            </w:pPr>
            <w:r w:rsidRPr="008944D7">
              <w:rPr>
                <w:b/>
                <w:iCs/>
                <w:spacing w:val="-2"/>
                <w:szCs w:val="28"/>
              </w:rPr>
              <w:t>Điều 2.</w:t>
            </w:r>
            <w:r w:rsidRPr="008944D7">
              <w:rPr>
                <w:iCs/>
                <w:spacing w:val="-2"/>
                <w:szCs w:val="28"/>
              </w:rPr>
              <w:t xml:space="preserve"> Điều khoản thi hành</w:t>
            </w:r>
          </w:p>
          <w:p w14:paraId="078CDEFA" w14:textId="77777777" w:rsidR="002518EF" w:rsidRPr="00BA795C" w:rsidRDefault="002518EF" w:rsidP="002518EF">
            <w:pPr>
              <w:widowControl w:val="0"/>
              <w:spacing w:before="60" w:after="40"/>
              <w:jc w:val="both"/>
              <w:rPr>
                <w:b/>
                <w:szCs w:val="28"/>
                <w:lang w:val="af-ZA"/>
              </w:rPr>
            </w:pPr>
            <w:r w:rsidRPr="00BA795C">
              <w:rPr>
                <w:b/>
                <w:szCs w:val="28"/>
                <w:lang w:val="af-ZA"/>
              </w:rPr>
              <w:lastRenderedPageBreak/>
              <w:t xml:space="preserve">Điều 3. </w:t>
            </w:r>
            <w:r w:rsidRPr="002518EF">
              <w:rPr>
                <w:szCs w:val="28"/>
                <w:lang w:val="af-ZA"/>
              </w:rPr>
              <w:t>Tổ chức thực hiện</w:t>
            </w:r>
            <w:bookmarkStart w:id="0" w:name="_GoBack"/>
            <w:bookmarkEnd w:id="0"/>
          </w:p>
          <w:p w14:paraId="77AD819B" w14:textId="68386B17" w:rsidR="0082254E" w:rsidRDefault="0082254E" w:rsidP="002518EF">
            <w:pPr>
              <w:spacing w:before="60" w:after="40"/>
              <w:jc w:val="both"/>
              <w:rPr>
                <w:i/>
              </w:rPr>
            </w:pPr>
          </w:p>
        </w:tc>
        <w:tc>
          <w:tcPr>
            <w:tcW w:w="4663" w:type="dxa"/>
          </w:tcPr>
          <w:p w14:paraId="0DB09B86" w14:textId="77777777" w:rsidR="002518EF" w:rsidRPr="003D5955" w:rsidRDefault="002518EF" w:rsidP="002518EF">
            <w:pPr>
              <w:shd w:val="clear" w:color="auto" w:fill="FFFFFF"/>
              <w:spacing w:before="60" w:after="40"/>
              <w:jc w:val="both"/>
              <w:rPr>
                <w:rFonts w:ascii="TimesNewRomanPSMT" w:hAnsi="TimesNewRomanPSMT"/>
                <w:color w:val="000000"/>
                <w:szCs w:val="28"/>
              </w:rPr>
            </w:pPr>
            <w:r>
              <w:rPr>
                <w:rFonts w:ascii="TimesNewRomanPSMT" w:hAnsi="TimesNewRomanPSMT"/>
                <w:color w:val="000000"/>
                <w:szCs w:val="28"/>
              </w:rPr>
              <w:lastRenderedPageBreak/>
              <w:t xml:space="preserve">a) </w:t>
            </w:r>
            <w:r w:rsidRPr="00231C71">
              <w:rPr>
                <w:rFonts w:ascii="TimesNewRomanPSMT" w:hAnsi="TimesNewRomanPSMT"/>
                <w:color w:val="000000"/>
                <w:szCs w:val="28"/>
              </w:rPr>
              <w:t>Nghị quyết số 12/2016/NQ-HĐND ngày 09</w:t>
            </w:r>
            <w:r>
              <w:rPr>
                <w:rFonts w:ascii="TimesNewRomanPSMT" w:hAnsi="TimesNewRomanPSMT"/>
                <w:color w:val="000000"/>
                <w:szCs w:val="28"/>
              </w:rPr>
              <w:t xml:space="preserve"> tháng 12 năm </w:t>
            </w:r>
            <w:r w:rsidRPr="00231C71">
              <w:rPr>
                <w:rFonts w:ascii="TimesNewRomanPSMT" w:hAnsi="TimesNewRomanPSMT"/>
                <w:color w:val="000000"/>
                <w:szCs w:val="28"/>
              </w:rPr>
              <w:t>2016 của Hội</w:t>
            </w:r>
            <w:r>
              <w:rPr>
                <w:rFonts w:ascii="TimesNewRomanPSMT" w:hAnsi="TimesNewRomanPSMT"/>
                <w:color w:val="000000"/>
                <w:szCs w:val="28"/>
              </w:rPr>
              <w:t xml:space="preserve"> </w:t>
            </w:r>
            <w:r w:rsidRPr="00231C71">
              <w:rPr>
                <w:rFonts w:ascii="TimesNewRomanPSMT" w:hAnsi="TimesNewRomanPSMT"/>
                <w:color w:val="000000"/>
                <w:szCs w:val="28"/>
              </w:rPr>
              <w:t xml:space="preserve">đồng nhân dân tỉnh Thừa Thiên Huế </w:t>
            </w:r>
            <w:r w:rsidRPr="008A1F47">
              <w:rPr>
                <w:rFonts w:cs="Times New Roman"/>
                <w:spacing w:val="-4"/>
                <w:szCs w:val="28"/>
              </w:rPr>
              <w:t xml:space="preserve">về quy hoạch phát triển khoa học và công nghệ tỉnh Thừa Thiên Huế đến năm 2025, tầm nhìn đến năm 2030 </w:t>
            </w:r>
            <w:r>
              <w:rPr>
                <w:rFonts w:cs="Times New Roman"/>
                <w:spacing w:val="-4"/>
                <w:szCs w:val="28"/>
              </w:rPr>
              <w:t xml:space="preserve">(nay là thành phố Huế) </w:t>
            </w:r>
            <w:r w:rsidRPr="00231C71">
              <w:rPr>
                <w:rFonts w:ascii="TimesNewRomanPSMT" w:hAnsi="TimesNewRomanPSMT"/>
                <w:color w:val="000000"/>
                <w:szCs w:val="28"/>
              </w:rPr>
              <w:t>được ban hành trên</w:t>
            </w:r>
            <w:r>
              <w:rPr>
                <w:rFonts w:ascii="TimesNewRomanPSMT" w:hAnsi="TimesNewRomanPSMT"/>
                <w:color w:val="000000"/>
                <w:szCs w:val="28"/>
              </w:rPr>
              <w:t xml:space="preserve"> </w:t>
            </w:r>
            <w:r w:rsidRPr="00231C71">
              <w:rPr>
                <w:rFonts w:ascii="TimesNewRomanPSMT" w:hAnsi="TimesNewRomanPSMT"/>
                <w:color w:val="000000"/>
                <w:szCs w:val="28"/>
              </w:rPr>
              <w:t>cơ sở các quy định của Luật Khoa học và Công nghệ năm 2013,</w:t>
            </w:r>
            <w:r>
              <w:rPr>
                <w:rFonts w:ascii="TimesNewRomanPSMT" w:hAnsi="TimesNewRomanPSMT"/>
                <w:color w:val="000000"/>
                <w:szCs w:val="28"/>
              </w:rPr>
              <w:t xml:space="preserve"> </w:t>
            </w:r>
            <w:r w:rsidRPr="00231C71">
              <w:rPr>
                <w:rFonts w:ascii="TimesNewRomanPSMT" w:hAnsi="TimesNewRomanPSMT"/>
                <w:color w:val="000000"/>
                <w:szCs w:val="28"/>
              </w:rPr>
              <w:t>Tuy nhiên, Luật Khoa</w:t>
            </w:r>
            <w:r>
              <w:rPr>
                <w:rFonts w:ascii="TimesNewRomanPSMT" w:hAnsi="TimesNewRomanPSMT"/>
                <w:color w:val="000000"/>
                <w:szCs w:val="28"/>
              </w:rPr>
              <w:t xml:space="preserve"> </w:t>
            </w:r>
            <w:r w:rsidRPr="00231C71">
              <w:rPr>
                <w:rFonts w:ascii="TimesNewRomanPSMT" w:hAnsi="TimesNewRomanPSMT"/>
                <w:color w:val="000000"/>
                <w:szCs w:val="28"/>
              </w:rPr>
              <w:t>học và Công nghệ năm 2013 đã hết hiệu lực và được thay thế bởi Luật Khoa học,</w:t>
            </w:r>
            <w:r>
              <w:rPr>
                <w:rFonts w:ascii="TimesNewRomanPSMT" w:hAnsi="TimesNewRomanPSMT"/>
                <w:color w:val="000000"/>
                <w:szCs w:val="28"/>
              </w:rPr>
              <w:t xml:space="preserve"> </w:t>
            </w:r>
            <w:r w:rsidRPr="00231C71">
              <w:rPr>
                <w:rFonts w:ascii="TimesNewRomanPSMT" w:hAnsi="TimesNewRomanPSMT"/>
                <w:color w:val="000000"/>
                <w:szCs w:val="28"/>
              </w:rPr>
              <w:t>công nghệ và đổi mới sáng tạo năm 2025.</w:t>
            </w:r>
            <w:r>
              <w:rPr>
                <w:rFonts w:ascii="TimesNewRomanPSMT" w:hAnsi="TimesNewRomanPSMT"/>
                <w:color w:val="000000"/>
                <w:szCs w:val="28"/>
              </w:rPr>
              <w:t xml:space="preserve"> </w:t>
            </w:r>
            <w:r>
              <w:rPr>
                <w:rFonts w:cs="Times New Roman"/>
                <w:bCs/>
                <w:szCs w:val="28"/>
              </w:rPr>
              <w:t xml:space="preserve">Như vậy, căn cứ pháp lý trực tiếp làm cơ sở cho việc xây dựng và thực hiện quy hoạch phát triển khoa học và công nghệ tỉnh Thừa Thiên Huế đến năm 2025, tầm nhìn đến năm 2030 theo Nghị quyết 12/2016/NQ-HĐND </w:t>
            </w:r>
            <w:r>
              <w:rPr>
                <w:rFonts w:cs="Times New Roman"/>
                <w:bCs/>
                <w:szCs w:val="28"/>
              </w:rPr>
              <w:lastRenderedPageBreak/>
              <w:t>đã được thay thế. Đồng thời, pháp luật hiện hành không còn quy định việc xây dựng quy hoạch phát triển khoa học và công nghệ cấp tỉnh theo cơ chế trước đây. Bên cạnh đó, Nghị quyết số 12/2016/NQ-HĐND xác định thời kỳ thực hiện quy hoạch đến năm 2025, tầm nhìn đến năm 2030, đến nay, thời kỳ quy hoạch đến năm 2025 đã kết thúc.</w:t>
            </w:r>
          </w:p>
          <w:p w14:paraId="4B4B2099" w14:textId="77777777" w:rsidR="002518EF" w:rsidRDefault="002518EF" w:rsidP="002518EF">
            <w:pPr>
              <w:shd w:val="clear" w:color="auto" w:fill="FFFFFF"/>
              <w:spacing w:before="60" w:after="40"/>
              <w:jc w:val="both"/>
              <w:rPr>
                <w:rFonts w:cs="Times New Roman"/>
                <w:bCs/>
                <w:iCs/>
                <w:spacing w:val="-2"/>
                <w:szCs w:val="28"/>
              </w:rPr>
            </w:pPr>
            <w:r>
              <w:rPr>
                <w:rFonts w:cs="Times New Roman"/>
                <w:bCs/>
                <w:szCs w:val="28"/>
              </w:rPr>
              <w:t xml:space="preserve">b) </w:t>
            </w:r>
            <w:r w:rsidRPr="008A1F47">
              <w:rPr>
                <w:rFonts w:cs="Times New Roman"/>
                <w:spacing w:val="-2"/>
                <w:szCs w:val="28"/>
                <w:lang w:val="nb-NO"/>
              </w:rPr>
              <w:t xml:space="preserve">Thành ủy đã ban hành </w:t>
            </w:r>
            <w:r w:rsidRPr="008A1F47">
              <w:rPr>
                <w:rFonts w:cs="Times New Roman"/>
                <w:iCs/>
                <w:spacing w:val="-2"/>
                <w:szCs w:val="28"/>
              </w:rPr>
              <w:t xml:space="preserve">Nghị quyết số 05-NQ/TU ngày 01 tháng 4 năm 2026 của Thành ủy </w:t>
            </w:r>
            <w:r w:rsidRPr="008A1F47">
              <w:rPr>
                <w:rFonts w:cs="Times New Roman"/>
                <w:bCs/>
                <w:iCs/>
                <w:spacing w:val="-2"/>
                <w:szCs w:val="28"/>
              </w:rPr>
              <w:t>Hội nghị lần thứ năm Ban chấp hành Đảng bộ thành phố khóa XVII về đột phá phát triển khoa học, công nghệ, đổi mới sáng tạo và chuyển đổi số giai đoạn 2026 - 2030, tầm nhìn đến năm 2035.</w:t>
            </w:r>
            <w:r>
              <w:rPr>
                <w:rFonts w:cs="Times New Roman"/>
                <w:bCs/>
                <w:iCs/>
                <w:spacing w:val="-2"/>
                <w:szCs w:val="28"/>
              </w:rPr>
              <w:t xml:space="preserve"> Trong đó đã xác định các mục tiêu, chỉ tiêu cụ thể, đồng thời đưa ra những nhiệm vụ và giải pháp phát triển khoa học, công nghệ và đổi mới sáng tạo trên địa bàn thành phố Huế trong giai đoạn mới.</w:t>
            </w:r>
          </w:p>
          <w:p w14:paraId="56520FB8" w14:textId="3B8990BA" w:rsidR="005021FE" w:rsidRPr="002518EF" w:rsidRDefault="002518EF" w:rsidP="002518EF">
            <w:pPr>
              <w:shd w:val="clear" w:color="auto" w:fill="FFFFFF"/>
              <w:spacing w:before="60" w:after="40"/>
              <w:jc w:val="both"/>
              <w:rPr>
                <w:rFonts w:cs="Times New Roman"/>
                <w:szCs w:val="28"/>
                <w:lang w:val="nb-NO"/>
              </w:rPr>
            </w:pPr>
            <w:r>
              <w:rPr>
                <w:rFonts w:cs="Times New Roman"/>
                <w:bCs/>
                <w:iCs/>
                <w:spacing w:val="-2"/>
                <w:szCs w:val="28"/>
              </w:rPr>
              <w:t>c) Nghị quyết</w:t>
            </w:r>
            <w:r w:rsidRPr="00853ECF">
              <w:rPr>
                <w:rFonts w:cs="Times New Roman"/>
                <w:bCs/>
                <w:iCs/>
                <w:spacing w:val="-2"/>
                <w:szCs w:val="28"/>
              </w:rPr>
              <w:t xml:space="preserve"> số</w:t>
            </w:r>
            <w:r>
              <w:rPr>
                <w:rFonts w:cs="Times New Roman"/>
                <w:bCs/>
                <w:iCs/>
                <w:spacing w:val="-2"/>
                <w:szCs w:val="28"/>
              </w:rPr>
              <w:t xml:space="preserve"> 12</w:t>
            </w:r>
            <w:r w:rsidRPr="00853ECF">
              <w:rPr>
                <w:rFonts w:cs="Times New Roman"/>
                <w:bCs/>
                <w:iCs/>
                <w:spacing w:val="-2"/>
                <w:szCs w:val="28"/>
              </w:rPr>
              <w:t>/201</w:t>
            </w:r>
            <w:r>
              <w:rPr>
                <w:rFonts w:cs="Times New Roman"/>
                <w:bCs/>
                <w:iCs/>
                <w:spacing w:val="-2"/>
                <w:szCs w:val="28"/>
              </w:rPr>
              <w:t>6</w:t>
            </w:r>
            <w:r w:rsidRPr="00853ECF">
              <w:rPr>
                <w:rFonts w:cs="Times New Roman"/>
                <w:bCs/>
                <w:iCs/>
                <w:spacing w:val="-2"/>
                <w:szCs w:val="28"/>
              </w:rPr>
              <w:t>/</w:t>
            </w:r>
            <w:r>
              <w:rPr>
                <w:rFonts w:cs="Times New Roman"/>
                <w:bCs/>
                <w:iCs/>
                <w:spacing w:val="-2"/>
                <w:szCs w:val="28"/>
              </w:rPr>
              <w:t>NQ-HĐ</w:t>
            </w:r>
            <w:r w:rsidRPr="00853ECF">
              <w:rPr>
                <w:rFonts w:cs="Times New Roman"/>
                <w:bCs/>
                <w:iCs/>
                <w:spacing w:val="-2"/>
                <w:szCs w:val="28"/>
              </w:rPr>
              <w:t xml:space="preserve">ND </w:t>
            </w:r>
            <w:r>
              <w:rPr>
                <w:rFonts w:cs="Times New Roman"/>
                <w:bCs/>
                <w:iCs/>
                <w:spacing w:val="-2"/>
                <w:szCs w:val="28"/>
              </w:rPr>
              <w:t xml:space="preserve">có </w:t>
            </w:r>
            <w:r w:rsidRPr="008A1F47">
              <w:rPr>
                <w:rFonts w:cs="Times New Roman"/>
                <w:szCs w:val="28"/>
                <w:lang w:val="nb-NO"/>
              </w:rPr>
              <w:t>có quy định một số nội dung liên quan đến cấp huyện</w:t>
            </w:r>
            <w:r>
              <w:rPr>
                <w:rFonts w:cs="Times New Roman"/>
                <w:szCs w:val="28"/>
                <w:lang w:val="nb-NO"/>
              </w:rPr>
              <w:t>, hiện tại</w:t>
            </w:r>
            <w:r w:rsidRPr="008A1F47">
              <w:rPr>
                <w:rFonts w:cs="Times New Roman"/>
                <w:szCs w:val="28"/>
                <w:lang w:val="nb-NO"/>
              </w:rPr>
              <w:t xml:space="preserve"> đã không còn phù hợp với tổ chức chính quyền địa phương 02 cấp</w:t>
            </w:r>
            <w:r>
              <w:rPr>
                <w:rFonts w:cs="Times New Roman"/>
                <w:bCs/>
                <w:iCs/>
                <w:spacing w:val="-2"/>
                <w:szCs w:val="28"/>
              </w:rPr>
              <w:t>.</w:t>
            </w:r>
          </w:p>
        </w:tc>
      </w:tr>
    </w:tbl>
    <w:p w14:paraId="442D15A7" w14:textId="77777777" w:rsidR="005021FE" w:rsidRDefault="005021FE" w:rsidP="00D940C9">
      <w:pPr>
        <w:widowControl w:val="0"/>
        <w:spacing w:after="0" w:line="240" w:lineRule="auto"/>
        <w:jc w:val="center"/>
        <w:rPr>
          <w:i/>
        </w:rPr>
      </w:pPr>
    </w:p>
    <w:sectPr w:rsidR="005021FE" w:rsidSect="008920FF">
      <w:headerReference w:type="default" r:id="rId8"/>
      <w:pgSz w:w="16834" w:h="11909"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1474B" w14:textId="77777777" w:rsidR="002720FC" w:rsidRDefault="002720FC" w:rsidP="00DD7739">
      <w:pPr>
        <w:spacing w:after="0" w:line="240" w:lineRule="auto"/>
      </w:pPr>
      <w:r>
        <w:separator/>
      </w:r>
    </w:p>
  </w:endnote>
  <w:endnote w:type="continuationSeparator" w:id="0">
    <w:p w14:paraId="6BB1857C" w14:textId="77777777" w:rsidR="002720FC" w:rsidRDefault="002720FC" w:rsidP="00DD7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CE024" w14:textId="77777777" w:rsidR="002720FC" w:rsidRDefault="002720FC" w:rsidP="00DD7739">
      <w:pPr>
        <w:spacing w:after="0" w:line="240" w:lineRule="auto"/>
      </w:pPr>
      <w:r>
        <w:separator/>
      </w:r>
    </w:p>
  </w:footnote>
  <w:footnote w:type="continuationSeparator" w:id="0">
    <w:p w14:paraId="07EEB372" w14:textId="77777777" w:rsidR="002720FC" w:rsidRDefault="002720FC" w:rsidP="00DD77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435772"/>
      <w:docPartObj>
        <w:docPartGallery w:val="Page Numbers (Top of Page)"/>
        <w:docPartUnique/>
      </w:docPartObj>
    </w:sdtPr>
    <w:sdtEndPr>
      <w:rPr>
        <w:noProof/>
      </w:rPr>
    </w:sdtEndPr>
    <w:sdtContent>
      <w:p w14:paraId="63B1DECE" w14:textId="77777777" w:rsidR="007F3BFD" w:rsidRDefault="007F3BFD">
        <w:pPr>
          <w:pStyle w:val="Header"/>
          <w:jc w:val="center"/>
        </w:pPr>
        <w:r>
          <w:fldChar w:fldCharType="begin"/>
        </w:r>
        <w:r>
          <w:instrText xml:space="preserve"> PAGE   \* MERGEFORMAT </w:instrText>
        </w:r>
        <w:r>
          <w:fldChar w:fldCharType="separate"/>
        </w:r>
        <w:r w:rsidR="002518EF">
          <w:rPr>
            <w:noProof/>
          </w:rPr>
          <w:t>2</w:t>
        </w:r>
        <w:r>
          <w:rPr>
            <w:noProof/>
          </w:rPr>
          <w:fldChar w:fldCharType="end"/>
        </w:r>
      </w:p>
    </w:sdtContent>
  </w:sdt>
  <w:p w14:paraId="39BD6F76" w14:textId="77777777" w:rsidR="007F3BFD" w:rsidRDefault="007F3B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01407"/>
    <w:multiLevelType w:val="hybridMultilevel"/>
    <w:tmpl w:val="B12E9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11A3F"/>
    <w:multiLevelType w:val="hybridMultilevel"/>
    <w:tmpl w:val="54D62682"/>
    <w:lvl w:ilvl="0" w:tplc="AF2E23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7C4DDD"/>
    <w:multiLevelType w:val="hybridMultilevel"/>
    <w:tmpl w:val="8236F8EA"/>
    <w:lvl w:ilvl="0" w:tplc="BD0C08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6B146F"/>
    <w:multiLevelType w:val="hybridMultilevel"/>
    <w:tmpl w:val="A48AC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9634BE"/>
    <w:multiLevelType w:val="hybridMultilevel"/>
    <w:tmpl w:val="04F6C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8F40F4"/>
    <w:multiLevelType w:val="hybridMultilevel"/>
    <w:tmpl w:val="DF4E78A2"/>
    <w:lvl w:ilvl="0" w:tplc="BD561CD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6EF03FD7"/>
    <w:multiLevelType w:val="hybridMultilevel"/>
    <w:tmpl w:val="BCFCA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462"/>
    <w:rsid w:val="000207F2"/>
    <w:rsid w:val="00036817"/>
    <w:rsid w:val="00045E67"/>
    <w:rsid w:val="00064CA6"/>
    <w:rsid w:val="000746F8"/>
    <w:rsid w:val="00077CE3"/>
    <w:rsid w:val="00080C35"/>
    <w:rsid w:val="00085532"/>
    <w:rsid w:val="00090405"/>
    <w:rsid w:val="00093DB2"/>
    <w:rsid w:val="00097C0C"/>
    <w:rsid w:val="000A7ABC"/>
    <w:rsid w:val="000B1C20"/>
    <w:rsid w:val="000E00FC"/>
    <w:rsid w:val="000E1B05"/>
    <w:rsid w:val="000F07F9"/>
    <w:rsid w:val="000F1E1E"/>
    <w:rsid w:val="001040C7"/>
    <w:rsid w:val="001127B1"/>
    <w:rsid w:val="001152FF"/>
    <w:rsid w:val="00117556"/>
    <w:rsid w:val="00121D21"/>
    <w:rsid w:val="00133D41"/>
    <w:rsid w:val="00147F4C"/>
    <w:rsid w:val="00153C36"/>
    <w:rsid w:val="00161AC3"/>
    <w:rsid w:val="00194481"/>
    <w:rsid w:val="001A512F"/>
    <w:rsid w:val="001A6414"/>
    <w:rsid w:val="001B346A"/>
    <w:rsid w:val="001B57BA"/>
    <w:rsid w:val="001C3AF8"/>
    <w:rsid w:val="001D0BB2"/>
    <w:rsid w:val="001D362C"/>
    <w:rsid w:val="001D7E4F"/>
    <w:rsid w:val="0020521A"/>
    <w:rsid w:val="0021085F"/>
    <w:rsid w:val="00211E6A"/>
    <w:rsid w:val="00235AA1"/>
    <w:rsid w:val="00236711"/>
    <w:rsid w:val="002415E7"/>
    <w:rsid w:val="00247701"/>
    <w:rsid w:val="002518EF"/>
    <w:rsid w:val="00267323"/>
    <w:rsid w:val="002714FC"/>
    <w:rsid w:val="002720FC"/>
    <w:rsid w:val="00272E86"/>
    <w:rsid w:val="00293992"/>
    <w:rsid w:val="002963CB"/>
    <w:rsid w:val="00296C5A"/>
    <w:rsid w:val="002A181D"/>
    <w:rsid w:val="002B4EBB"/>
    <w:rsid w:val="002C0714"/>
    <w:rsid w:val="002E2008"/>
    <w:rsid w:val="002E341A"/>
    <w:rsid w:val="002F18BA"/>
    <w:rsid w:val="003035FF"/>
    <w:rsid w:val="00304AE3"/>
    <w:rsid w:val="003107D5"/>
    <w:rsid w:val="00316027"/>
    <w:rsid w:val="003222DE"/>
    <w:rsid w:val="00322368"/>
    <w:rsid w:val="00326F46"/>
    <w:rsid w:val="00327141"/>
    <w:rsid w:val="00334FB9"/>
    <w:rsid w:val="003512F5"/>
    <w:rsid w:val="003608DE"/>
    <w:rsid w:val="003631EC"/>
    <w:rsid w:val="00374FC6"/>
    <w:rsid w:val="00375A1B"/>
    <w:rsid w:val="003847F6"/>
    <w:rsid w:val="003939DB"/>
    <w:rsid w:val="003A77A8"/>
    <w:rsid w:val="003B0DC0"/>
    <w:rsid w:val="003B47D4"/>
    <w:rsid w:val="003B72A2"/>
    <w:rsid w:val="003D721C"/>
    <w:rsid w:val="003E3B01"/>
    <w:rsid w:val="003E4FC9"/>
    <w:rsid w:val="003F0B10"/>
    <w:rsid w:val="004018E5"/>
    <w:rsid w:val="00407EF5"/>
    <w:rsid w:val="00412349"/>
    <w:rsid w:val="00414AC9"/>
    <w:rsid w:val="00420DD6"/>
    <w:rsid w:val="004250EC"/>
    <w:rsid w:val="0043324A"/>
    <w:rsid w:val="004375AA"/>
    <w:rsid w:val="004412F6"/>
    <w:rsid w:val="0044495C"/>
    <w:rsid w:val="00452931"/>
    <w:rsid w:val="00463721"/>
    <w:rsid w:val="0046533C"/>
    <w:rsid w:val="00474027"/>
    <w:rsid w:val="00480D61"/>
    <w:rsid w:val="004866EB"/>
    <w:rsid w:val="00490D7C"/>
    <w:rsid w:val="004A667A"/>
    <w:rsid w:val="004C0714"/>
    <w:rsid w:val="004C6ACC"/>
    <w:rsid w:val="004D4438"/>
    <w:rsid w:val="004D6EFD"/>
    <w:rsid w:val="004E16CA"/>
    <w:rsid w:val="004E3D76"/>
    <w:rsid w:val="004E7F81"/>
    <w:rsid w:val="004F4015"/>
    <w:rsid w:val="004F6038"/>
    <w:rsid w:val="004F7954"/>
    <w:rsid w:val="005021FE"/>
    <w:rsid w:val="00511DAB"/>
    <w:rsid w:val="0052543F"/>
    <w:rsid w:val="005412F4"/>
    <w:rsid w:val="00544388"/>
    <w:rsid w:val="00560A38"/>
    <w:rsid w:val="00566892"/>
    <w:rsid w:val="00577476"/>
    <w:rsid w:val="005836EA"/>
    <w:rsid w:val="005929A1"/>
    <w:rsid w:val="005A439E"/>
    <w:rsid w:val="005B2099"/>
    <w:rsid w:val="005B756C"/>
    <w:rsid w:val="005E3071"/>
    <w:rsid w:val="005E7CFF"/>
    <w:rsid w:val="005F0EFE"/>
    <w:rsid w:val="005F422A"/>
    <w:rsid w:val="00602202"/>
    <w:rsid w:val="00605192"/>
    <w:rsid w:val="00626837"/>
    <w:rsid w:val="00626F0C"/>
    <w:rsid w:val="00631DD2"/>
    <w:rsid w:val="0064475D"/>
    <w:rsid w:val="00664C85"/>
    <w:rsid w:val="00680E48"/>
    <w:rsid w:val="00692DC1"/>
    <w:rsid w:val="00694723"/>
    <w:rsid w:val="006A6848"/>
    <w:rsid w:val="006B6F6C"/>
    <w:rsid w:val="006E31A1"/>
    <w:rsid w:val="00703385"/>
    <w:rsid w:val="00704AD9"/>
    <w:rsid w:val="007075C9"/>
    <w:rsid w:val="00712476"/>
    <w:rsid w:val="00714915"/>
    <w:rsid w:val="00717E37"/>
    <w:rsid w:val="007232FF"/>
    <w:rsid w:val="00730BB6"/>
    <w:rsid w:val="00754115"/>
    <w:rsid w:val="00780E84"/>
    <w:rsid w:val="007909C8"/>
    <w:rsid w:val="00796C37"/>
    <w:rsid w:val="007A245D"/>
    <w:rsid w:val="007A7C6E"/>
    <w:rsid w:val="007A7E78"/>
    <w:rsid w:val="007B17DD"/>
    <w:rsid w:val="007B4741"/>
    <w:rsid w:val="007B5313"/>
    <w:rsid w:val="007C6140"/>
    <w:rsid w:val="007D2ADF"/>
    <w:rsid w:val="007D4913"/>
    <w:rsid w:val="007D75DB"/>
    <w:rsid w:val="007E4AAD"/>
    <w:rsid w:val="007F3BFD"/>
    <w:rsid w:val="007F6A53"/>
    <w:rsid w:val="00800E02"/>
    <w:rsid w:val="00801CA2"/>
    <w:rsid w:val="0080206F"/>
    <w:rsid w:val="00812D70"/>
    <w:rsid w:val="00817061"/>
    <w:rsid w:val="00821729"/>
    <w:rsid w:val="0082254E"/>
    <w:rsid w:val="00824B42"/>
    <w:rsid w:val="00844B8C"/>
    <w:rsid w:val="008475E1"/>
    <w:rsid w:val="008648CB"/>
    <w:rsid w:val="00867245"/>
    <w:rsid w:val="00881901"/>
    <w:rsid w:val="00882E69"/>
    <w:rsid w:val="0088656C"/>
    <w:rsid w:val="0088684D"/>
    <w:rsid w:val="008920FF"/>
    <w:rsid w:val="008942F9"/>
    <w:rsid w:val="008944D7"/>
    <w:rsid w:val="008A093D"/>
    <w:rsid w:val="008A248A"/>
    <w:rsid w:val="008A45E1"/>
    <w:rsid w:val="008B319E"/>
    <w:rsid w:val="008C5EA4"/>
    <w:rsid w:val="008D4260"/>
    <w:rsid w:val="008E38FF"/>
    <w:rsid w:val="008F6A64"/>
    <w:rsid w:val="009132C2"/>
    <w:rsid w:val="00914EF1"/>
    <w:rsid w:val="00921F59"/>
    <w:rsid w:val="009524D8"/>
    <w:rsid w:val="0095359F"/>
    <w:rsid w:val="00963B60"/>
    <w:rsid w:val="009667A2"/>
    <w:rsid w:val="00971BFE"/>
    <w:rsid w:val="00974395"/>
    <w:rsid w:val="00996F0C"/>
    <w:rsid w:val="00997A92"/>
    <w:rsid w:val="009A1B4E"/>
    <w:rsid w:val="009A5CBC"/>
    <w:rsid w:val="009C75EB"/>
    <w:rsid w:val="009F0C8A"/>
    <w:rsid w:val="009F299F"/>
    <w:rsid w:val="00A12AAB"/>
    <w:rsid w:val="00A137F9"/>
    <w:rsid w:val="00A21358"/>
    <w:rsid w:val="00A213EB"/>
    <w:rsid w:val="00A21695"/>
    <w:rsid w:val="00A430AD"/>
    <w:rsid w:val="00A472B0"/>
    <w:rsid w:val="00A7330B"/>
    <w:rsid w:val="00A74536"/>
    <w:rsid w:val="00A841AF"/>
    <w:rsid w:val="00A84A5F"/>
    <w:rsid w:val="00A8547F"/>
    <w:rsid w:val="00A9333D"/>
    <w:rsid w:val="00A93F1E"/>
    <w:rsid w:val="00A97458"/>
    <w:rsid w:val="00AA0DA5"/>
    <w:rsid w:val="00AA7C8C"/>
    <w:rsid w:val="00AB4CA3"/>
    <w:rsid w:val="00AC14FA"/>
    <w:rsid w:val="00AE0449"/>
    <w:rsid w:val="00AE41CD"/>
    <w:rsid w:val="00AF157F"/>
    <w:rsid w:val="00B27362"/>
    <w:rsid w:val="00B369FE"/>
    <w:rsid w:val="00B427AE"/>
    <w:rsid w:val="00B4579A"/>
    <w:rsid w:val="00B45DE2"/>
    <w:rsid w:val="00B45E03"/>
    <w:rsid w:val="00B657BB"/>
    <w:rsid w:val="00B67519"/>
    <w:rsid w:val="00B710B1"/>
    <w:rsid w:val="00B817A1"/>
    <w:rsid w:val="00BA2C4B"/>
    <w:rsid w:val="00BB7915"/>
    <w:rsid w:val="00BE178C"/>
    <w:rsid w:val="00BE4AC9"/>
    <w:rsid w:val="00BF049F"/>
    <w:rsid w:val="00BF1D76"/>
    <w:rsid w:val="00BF3B07"/>
    <w:rsid w:val="00C14462"/>
    <w:rsid w:val="00C23BAB"/>
    <w:rsid w:val="00C350F4"/>
    <w:rsid w:val="00C3703A"/>
    <w:rsid w:val="00C508CB"/>
    <w:rsid w:val="00C572F1"/>
    <w:rsid w:val="00C57B3D"/>
    <w:rsid w:val="00C611A5"/>
    <w:rsid w:val="00C632C8"/>
    <w:rsid w:val="00C65F68"/>
    <w:rsid w:val="00C73977"/>
    <w:rsid w:val="00C75128"/>
    <w:rsid w:val="00C82923"/>
    <w:rsid w:val="00C85592"/>
    <w:rsid w:val="00C94890"/>
    <w:rsid w:val="00CA5F1B"/>
    <w:rsid w:val="00CA674D"/>
    <w:rsid w:val="00CB7DAE"/>
    <w:rsid w:val="00CE641C"/>
    <w:rsid w:val="00CF0501"/>
    <w:rsid w:val="00CF14D4"/>
    <w:rsid w:val="00CF4345"/>
    <w:rsid w:val="00D00443"/>
    <w:rsid w:val="00D00552"/>
    <w:rsid w:val="00D05E90"/>
    <w:rsid w:val="00D07FBA"/>
    <w:rsid w:val="00D16578"/>
    <w:rsid w:val="00D20195"/>
    <w:rsid w:val="00D21279"/>
    <w:rsid w:val="00D248CA"/>
    <w:rsid w:val="00D32CAF"/>
    <w:rsid w:val="00D74CFC"/>
    <w:rsid w:val="00D8392A"/>
    <w:rsid w:val="00D86963"/>
    <w:rsid w:val="00D92399"/>
    <w:rsid w:val="00D93575"/>
    <w:rsid w:val="00D940C9"/>
    <w:rsid w:val="00DB3F7B"/>
    <w:rsid w:val="00DC0049"/>
    <w:rsid w:val="00DC35C7"/>
    <w:rsid w:val="00DC71AD"/>
    <w:rsid w:val="00DD0FFA"/>
    <w:rsid w:val="00DD6DF7"/>
    <w:rsid w:val="00DD7739"/>
    <w:rsid w:val="00DF180A"/>
    <w:rsid w:val="00DF26E1"/>
    <w:rsid w:val="00DF2D7A"/>
    <w:rsid w:val="00DF7118"/>
    <w:rsid w:val="00E0136E"/>
    <w:rsid w:val="00E02EC6"/>
    <w:rsid w:val="00E0377C"/>
    <w:rsid w:val="00E1318F"/>
    <w:rsid w:val="00E14ADD"/>
    <w:rsid w:val="00E1772C"/>
    <w:rsid w:val="00E464CE"/>
    <w:rsid w:val="00E46C7D"/>
    <w:rsid w:val="00E656A5"/>
    <w:rsid w:val="00E6710C"/>
    <w:rsid w:val="00E7072C"/>
    <w:rsid w:val="00E758E6"/>
    <w:rsid w:val="00E77BC0"/>
    <w:rsid w:val="00E90C94"/>
    <w:rsid w:val="00E90F21"/>
    <w:rsid w:val="00E92E42"/>
    <w:rsid w:val="00EB1C43"/>
    <w:rsid w:val="00EC54ED"/>
    <w:rsid w:val="00EC5C3F"/>
    <w:rsid w:val="00EC7561"/>
    <w:rsid w:val="00ED552B"/>
    <w:rsid w:val="00EE3A50"/>
    <w:rsid w:val="00EE5086"/>
    <w:rsid w:val="00EF0B49"/>
    <w:rsid w:val="00EF3BFE"/>
    <w:rsid w:val="00EF4F1F"/>
    <w:rsid w:val="00F057BE"/>
    <w:rsid w:val="00F06AFE"/>
    <w:rsid w:val="00F10A78"/>
    <w:rsid w:val="00F17DAC"/>
    <w:rsid w:val="00F21616"/>
    <w:rsid w:val="00F404A5"/>
    <w:rsid w:val="00F40503"/>
    <w:rsid w:val="00F425F0"/>
    <w:rsid w:val="00F44098"/>
    <w:rsid w:val="00F50967"/>
    <w:rsid w:val="00F62D60"/>
    <w:rsid w:val="00F67ADF"/>
    <w:rsid w:val="00F70BFA"/>
    <w:rsid w:val="00F71C0C"/>
    <w:rsid w:val="00F76725"/>
    <w:rsid w:val="00F87C3F"/>
    <w:rsid w:val="00FA5430"/>
    <w:rsid w:val="00FA7373"/>
    <w:rsid w:val="00FC2BD0"/>
    <w:rsid w:val="00FE0924"/>
    <w:rsid w:val="00FE5CD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2A798"/>
  <w15:docId w15:val="{6F7CE4D8-64FB-468D-8C59-149037BE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711"/>
  </w:style>
  <w:style w:type="paragraph" w:styleId="Heading2">
    <w:name w:val="heading 2"/>
    <w:basedOn w:val="Normal"/>
    <w:link w:val="Heading2Char"/>
    <w:uiPriority w:val="9"/>
    <w:qFormat/>
    <w:rsid w:val="00E0136E"/>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4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webb,Обычный (веб)1,Обычный (веб) Знак,Обычный (веб) Знак1,Обычный (веб) Знак Знак, Char Char Char,Char Char Char,Geneva 9, Char Char,Char Char Char Char Char Char Char Char Char Char Char Char Char Char Char,Char Cha,Char Char"/>
    <w:basedOn w:val="Normal"/>
    <w:link w:val="NormalWebChar"/>
    <w:unhideWhenUsed/>
    <w:qFormat/>
    <w:rsid w:val="00C14462"/>
    <w:pPr>
      <w:spacing w:before="100" w:beforeAutospacing="1" w:after="100" w:afterAutospacing="1" w:line="240" w:lineRule="auto"/>
    </w:pPr>
    <w:rPr>
      <w:rFonts w:eastAsia="Times New Roman" w:cs="Times New Roman"/>
      <w:sz w:val="24"/>
      <w:szCs w:val="24"/>
      <w:lang w:eastAsia="zh-CN"/>
    </w:rPr>
  </w:style>
  <w:style w:type="character" w:styleId="Hyperlink">
    <w:name w:val="Hyperlink"/>
    <w:basedOn w:val="DefaultParagraphFont"/>
    <w:uiPriority w:val="99"/>
    <w:unhideWhenUsed/>
    <w:rsid w:val="00C14462"/>
    <w:rPr>
      <w:color w:val="0000FF"/>
      <w:u w:val="single"/>
    </w:rPr>
  </w:style>
  <w:style w:type="paragraph" w:styleId="ListParagraph">
    <w:name w:val="List Paragraph"/>
    <w:basedOn w:val="Normal"/>
    <w:uiPriority w:val="34"/>
    <w:qFormat/>
    <w:rsid w:val="003939DB"/>
    <w:pPr>
      <w:ind w:left="720"/>
      <w:contextualSpacing/>
    </w:pPr>
  </w:style>
  <w:style w:type="paragraph" w:customStyle="1" w:styleId="default">
    <w:name w:val="default"/>
    <w:basedOn w:val="Normal"/>
    <w:rsid w:val="00704AD9"/>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DD7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739"/>
  </w:style>
  <w:style w:type="paragraph" w:styleId="Footer">
    <w:name w:val="footer"/>
    <w:basedOn w:val="Normal"/>
    <w:link w:val="FooterChar"/>
    <w:uiPriority w:val="99"/>
    <w:unhideWhenUsed/>
    <w:rsid w:val="00DD7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739"/>
  </w:style>
  <w:style w:type="paragraph" w:styleId="BalloonText">
    <w:name w:val="Balloon Text"/>
    <w:basedOn w:val="Normal"/>
    <w:link w:val="BalloonTextChar"/>
    <w:uiPriority w:val="99"/>
    <w:semiHidden/>
    <w:unhideWhenUsed/>
    <w:rsid w:val="005E3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071"/>
    <w:rPr>
      <w:rFonts w:ascii="Tahoma" w:hAnsi="Tahoma" w:cs="Tahoma"/>
      <w:sz w:val="16"/>
      <w:szCs w:val="16"/>
    </w:rPr>
  </w:style>
  <w:style w:type="character" w:styleId="Strong">
    <w:name w:val="Strong"/>
    <w:qFormat/>
    <w:rsid w:val="00EF4F1F"/>
    <w:rPr>
      <w:b/>
      <w:bCs/>
    </w:rPr>
  </w:style>
  <w:style w:type="character" w:customStyle="1" w:styleId="apple-converted-space">
    <w:name w:val="apple-converted-space"/>
    <w:rsid w:val="00EF4F1F"/>
  </w:style>
  <w:style w:type="character" w:customStyle="1" w:styleId="fontstyle01">
    <w:name w:val="fontstyle01"/>
    <w:basedOn w:val="DefaultParagraphFont"/>
    <w:rsid w:val="009524D8"/>
    <w:rPr>
      <w:rFonts w:ascii="TimesNewRomanPS-ItalicMT" w:hAnsi="TimesNewRomanPS-ItalicMT" w:hint="default"/>
      <w:b w:val="0"/>
      <w:bCs w:val="0"/>
      <w:i/>
      <w:iCs/>
      <w:color w:val="000000"/>
      <w:sz w:val="28"/>
      <w:szCs w:val="28"/>
    </w:rPr>
  </w:style>
  <w:style w:type="character" w:customStyle="1" w:styleId="NormalWebChar">
    <w:name w:val="Normal (Web) Char"/>
    <w:aliases w:val="webb Char,Обычный (веб)1 Char,Обычный (веб) Знак Char,Обычный (веб) Знак1 Char,Обычный (веб) Знак Знак Char, Char Char Char Char1,Char Char Char Char,Geneva 9 Char, Char Char Char1,Char Cha Char,Char Char Char2"/>
    <w:link w:val="NormalWeb"/>
    <w:locked/>
    <w:rsid w:val="004D4438"/>
    <w:rPr>
      <w:rFonts w:eastAsia="Times New Roman" w:cs="Times New Roman"/>
      <w:sz w:val="24"/>
      <w:szCs w:val="24"/>
      <w:lang w:eastAsia="zh-CN"/>
    </w:rPr>
  </w:style>
  <w:style w:type="character" w:customStyle="1" w:styleId="Heading2Char">
    <w:name w:val="Heading 2 Char"/>
    <w:basedOn w:val="DefaultParagraphFont"/>
    <w:link w:val="Heading2"/>
    <w:uiPriority w:val="9"/>
    <w:rsid w:val="00E0136E"/>
    <w:rPr>
      <w:rFonts w:eastAsia="Times New Roman" w:cs="Times New Roman"/>
      <w:b/>
      <w:bCs/>
      <w:sz w:val="36"/>
      <w:szCs w:val="36"/>
    </w:rPr>
  </w:style>
  <w:style w:type="character" w:customStyle="1" w:styleId="NormalWebChar1">
    <w:name w:val="Normal (Web) Char1"/>
    <w:aliases w:val="Normal (Web) Char Char,Обычный (веб)1 Char1,Обычный (веб) Знак Char1,Обычный (веб) Знак1 Char1,Обычный (веб) Знак Знак Char1, Char Char Char Char,Char Char Char Char1,Geneva 9 Char1, Char Char Char2,Char Cha Char1,Char Char Char1"/>
    <w:locked/>
    <w:rsid w:val="003608DE"/>
    <w:rPr>
      <w:rFonts w:ascii="Arial Unicode MS" w:eastAsia="Arial Unicode MS" w:hAnsi="Arial Unicode MS" w:cs="Arial Unicode MS"/>
      <w:sz w:val="24"/>
      <w:szCs w:val="24"/>
    </w:rPr>
  </w:style>
  <w:style w:type="paragraph" w:styleId="BodyText">
    <w:name w:val="Body Text"/>
    <w:basedOn w:val="Normal"/>
    <w:link w:val="BodyTextChar"/>
    <w:semiHidden/>
    <w:rsid w:val="00F06AFE"/>
    <w:pPr>
      <w:spacing w:after="120" w:line="240" w:lineRule="auto"/>
    </w:pPr>
    <w:rPr>
      <w:rFonts w:eastAsia="Calibri" w:cs="Times New Roman"/>
      <w:sz w:val="24"/>
      <w:szCs w:val="24"/>
    </w:rPr>
  </w:style>
  <w:style w:type="character" w:customStyle="1" w:styleId="BodyTextChar">
    <w:name w:val="Body Text Char"/>
    <w:basedOn w:val="DefaultParagraphFont"/>
    <w:link w:val="BodyText"/>
    <w:semiHidden/>
    <w:rsid w:val="00F06AFE"/>
    <w:rPr>
      <w:rFonts w:eastAsia="Calibri" w:cs="Times New Roman"/>
      <w:sz w:val="24"/>
      <w:szCs w:val="24"/>
    </w:rPr>
  </w:style>
  <w:style w:type="character" w:customStyle="1" w:styleId="Vnbnnidung">
    <w:name w:val="Văn bản nội dung_"/>
    <w:link w:val="Vnbnnidung0"/>
    <w:locked/>
    <w:rsid w:val="00712476"/>
    <w:rPr>
      <w:sz w:val="26"/>
      <w:szCs w:val="26"/>
    </w:rPr>
  </w:style>
  <w:style w:type="paragraph" w:customStyle="1" w:styleId="Vnbnnidung0">
    <w:name w:val="Văn bản nội dung"/>
    <w:basedOn w:val="Normal"/>
    <w:link w:val="Vnbnnidung"/>
    <w:rsid w:val="00712476"/>
    <w:pPr>
      <w:widowControl w:val="0"/>
      <w:spacing w:line="259" w:lineRule="auto"/>
      <w:ind w:firstLine="400"/>
    </w:pPr>
    <w:rPr>
      <w:sz w:val="26"/>
      <w:szCs w:val="26"/>
    </w:rPr>
  </w:style>
  <w:style w:type="character" w:customStyle="1" w:styleId="Tiu3">
    <w:name w:val="Tiêu đề #3_"/>
    <w:link w:val="Tiu30"/>
    <w:locked/>
    <w:rsid w:val="00712476"/>
    <w:rPr>
      <w:b/>
      <w:bCs/>
      <w:sz w:val="26"/>
      <w:szCs w:val="26"/>
    </w:rPr>
  </w:style>
  <w:style w:type="paragraph" w:customStyle="1" w:styleId="Tiu30">
    <w:name w:val="Tiêu đề #3"/>
    <w:basedOn w:val="Normal"/>
    <w:link w:val="Tiu3"/>
    <w:rsid w:val="00712476"/>
    <w:pPr>
      <w:widowControl w:val="0"/>
      <w:spacing w:after="220" w:line="261" w:lineRule="auto"/>
      <w:ind w:firstLine="560"/>
      <w:outlineLvl w:val="2"/>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974892">
      <w:bodyDiv w:val="1"/>
      <w:marLeft w:val="0"/>
      <w:marRight w:val="0"/>
      <w:marTop w:val="0"/>
      <w:marBottom w:val="0"/>
      <w:divBdr>
        <w:top w:val="none" w:sz="0" w:space="0" w:color="auto"/>
        <w:left w:val="none" w:sz="0" w:space="0" w:color="auto"/>
        <w:bottom w:val="none" w:sz="0" w:space="0" w:color="auto"/>
        <w:right w:val="none" w:sz="0" w:space="0" w:color="auto"/>
      </w:divBdr>
    </w:div>
    <w:div w:id="1051003872">
      <w:bodyDiv w:val="1"/>
      <w:marLeft w:val="0"/>
      <w:marRight w:val="0"/>
      <w:marTop w:val="0"/>
      <w:marBottom w:val="0"/>
      <w:divBdr>
        <w:top w:val="none" w:sz="0" w:space="0" w:color="auto"/>
        <w:left w:val="none" w:sz="0" w:space="0" w:color="auto"/>
        <w:bottom w:val="none" w:sz="0" w:space="0" w:color="auto"/>
        <w:right w:val="none" w:sz="0" w:space="0" w:color="auto"/>
      </w:divBdr>
    </w:div>
    <w:div w:id="1500922403">
      <w:bodyDiv w:val="1"/>
      <w:marLeft w:val="0"/>
      <w:marRight w:val="0"/>
      <w:marTop w:val="0"/>
      <w:marBottom w:val="0"/>
      <w:divBdr>
        <w:top w:val="none" w:sz="0" w:space="0" w:color="auto"/>
        <w:left w:val="none" w:sz="0" w:space="0" w:color="auto"/>
        <w:bottom w:val="none" w:sz="0" w:space="0" w:color="auto"/>
        <w:right w:val="none" w:sz="0" w:space="0" w:color="auto"/>
      </w:divBdr>
    </w:div>
    <w:div w:id="1786150032">
      <w:bodyDiv w:val="1"/>
      <w:marLeft w:val="0"/>
      <w:marRight w:val="0"/>
      <w:marTop w:val="0"/>
      <w:marBottom w:val="0"/>
      <w:divBdr>
        <w:top w:val="none" w:sz="0" w:space="0" w:color="auto"/>
        <w:left w:val="none" w:sz="0" w:space="0" w:color="auto"/>
        <w:bottom w:val="none" w:sz="0" w:space="0" w:color="auto"/>
        <w:right w:val="none" w:sz="0" w:space="0" w:color="auto"/>
      </w:divBdr>
    </w:div>
    <w:div w:id="21223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F27EC-9969-4102-986F-72DEC4E7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https://www.facebook.com/vitinhhue</Company>
  <LinksUpToDate>false</LinksUpToDate>
  <CharactersWithSpaces>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cp:revision>
  <cp:lastPrinted>2025-09-30T09:27:00Z</cp:lastPrinted>
  <dcterms:created xsi:type="dcterms:W3CDTF">2026-05-28T09:20:00Z</dcterms:created>
  <dcterms:modified xsi:type="dcterms:W3CDTF">2026-07-20T04:34:00Z</dcterms:modified>
</cp:coreProperties>
</file>